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202585" w:displacedByCustomXml="next"/>
    <w:sdt>
      <w:sdtPr>
        <w:rPr>
          <w:b w:val="0"/>
          <w:color w:val="auto"/>
          <w:sz w:val="20"/>
        </w:rPr>
        <w:id w:val="-730926708"/>
        <w:docPartObj>
          <w:docPartGallery w:val="Cover Pages"/>
          <w:docPartUnique/>
        </w:docPartObj>
      </w:sdtPr>
      <w:sdtEndPr/>
      <w:sdtContent>
        <w:p w14:paraId="58667364" w14:textId="52E54A91" w:rsidR="00372B54" w:rsidRDefault="001720FA" w:rsidP="000328FC">
          <w:pPr>
            <w:pStyle w:val="CoverHeading"/>
          </w:pPr>
          <w:r>
            <w:t xml:space="preserve">Strategic Environmental Assessment </w:t>
          </w:r>
          <w:r w:rsidR="008B56F2">
            <w:t>Environmental Report</w:t>
          </w:r>
        </w:p>
        <w:p w14:paraId="32D2C88A" w14:textId="3F89FD22" w:rsidR="008B56F2" w:rsidRDefault="008B56F2" w:rsidP="000328FC">
          <w:pPr>
            <w:pStyle w:val="CoverHeading"/>
          </w:pPr>
          <w:r>
            <w:t>Appendix A. SEA Baseline</w:t>
          </w:r>
        </w:p>
        <w:bookmarkEnd w:id="0"/>
        <w:p w14:paraId="6D65B67E" w14:textId="4412A65C" w:rsidR="00372B54" w:rsidRDefault="00372B54" w:rsidP="000328FC">
          <w:pPr>
            <w:pStyle w:val="CoverInformation"/>
          </w:pPr>
          <w:r>
            <w:br/>
            <w:t xml:space="preserve">Revision no: </w:t>
          </w:r>
          <w:r w:rsidR="001720FA">
            <w:t>0.</w:t>
          </w:r>
          <w:r w:rsidR="0002081A">
            <w:t>2</w:t>
          </w:r>
        </w:p>
        <w:p w14:paraId="7216E094" w14:textId="7236BAAC" w:rsidR="005516D1" w:rsidRDefault="001720FA" w:rsidP="000328FC">
          <w:pPr>
            <w:pStyle w:val="CoverInformationBold"/>
          </w:pPr>
          <w:r>
            <w:t>City of Edinburgh Council</w:t>
          </w:r>
        </w:p>
        <w:p w14:paraId="72B281AD" w14:textId="0FCF1905" w:rsidR="00372B54" w:rsidRDefault="00372B54" w:rsidP="000328FC">
          <w:pPr>
            <w:pStyle w:val="CoverInformation"/>
            <w:tabs>
              <w:tab w:val="left" w:pos="5783"/>
            </w:tabs>
          </w:pPr>
        </w:p>
        <w:p w14:paraId="4525CA0D" w14:textId="66E836B7" w:rsidR="00372B54" w:rsidRDefault="001720FA" w:rsidP="000328FC">
          <w:pPr>
            <w:pStyle w:val="CoverInformationBold"/>
          </w:pPr>
          <w:r>
            <w:t>Climate Strategy 2030</w:t>
          </w:r>
        </w:p>
        <w:p w14:paraId="55C52678" w14:textId="6D209914" w:rsidR="00372B54" w:rsidRPr="002667C9" w:rsidRDefault="006152E5" w:rsidP="000328FC">
          <w:pPr>
            <w:pStyle w:val="CoverInformation"/>
            <w:contextualSpacing w:val="0"/>
          </w:pPr>
          <w:r>
            <w:t>August</w:t>
          </w:r>
          <w:r w:rsidR="004A3777" w:rsidRPr="00AD5779">
            <w:t xml:space="preserve"> </w:t>
          </w:r>
          <w:r w:rsidR="008F5EC0" w:rsidRPr="00AD5779">
            <w:t>2022</w:t>
          </w:r>
        </w:p>
        <w:p w14:paraId="69DE7B85" w14:textId="77777777" w:rsidR="00372B54" w:rsidRDefault="006152E5" w:rsidP="00C21589">
          <w:pPr>
            <w:tabs>
              <w:tab w:val="left" w:pos="2171"/>
            </w:tabs>
            <w:sectPr w:rsidR="00372B54" w:rsidSect="00ED5407">
              <w:headerReference w:type="even" r:id="rId18"/>
              <w:headerReference w:type="first" r:id="rId19"/>
              <w:pgSz w:w="11906" w:h="16838" w:code="9"/>
              <w:pgMar w:top="2302" w:right="1440" w:bottom="567" w:left="1440" w:header="936" w:footer="0" w:gutter="0"/>
              <w:pgNumType w:start="1"/>
              <w:cols w:space="720"/>
              <w:titlePg/>
              <w:docGrid w:linePitch="360"/>
            </w:sectPr>
          </w:pPr>
        </w:p>
        <w:bookmarkStart w:id="1" w:name="CoverPage" w:displacedByCustomXml="next"/>
        <w:bookmarkEnd w:id="1" w:displacedByCustomXml="next"/>
      </w:sdtContent>
    </w:sdt>
    <w:p w14:paraId="40811508" w14:textId="721DA2CB" w:rsidR="007F0155" w:rsidRDefault="008B56F2" w:rsidP="008B56F2">
      <w:pPr>
        <w:pStyle w:val="AppendixHeading1"/>
      </w:pPr>
      <w:bookmarkStart w:id="2" w:name="_Toc99536672"/>
      <w:bookmarkStart w:id="3" w:name="_Toc41573217"/>
      <w:r>
        <w:lastRenderedPageBreak/>
        <w:t>SEA</w:t>
      </w:r>
      <w:r w:rsidR="007F0155">
        <w:t xml:space="preserve"> Baseline</w:t>
      </w:r>
      <w:bookmarkEnd w:id="2"/>
    </w:p>
    <w:p w14:paraId="11096415" w14:textId="5AF8CEDA" w:rsidR="00BF7057" w:rsidRDefault="002F4DDA" w:rsidP="00BF7057">
      <w:pPr>
        <w:pStyle w:val="BodyText"/>
      </w:pPr>
      <w:r>
        <w:t>B</w:t>
      </w:r>
      <w:r w:rsidR="00BF7057">
        <w:t xml:space="preserve">aseline </w:t>
      </w:r>
      <w:r>
        <w:t>data were collated</w:t>
      </w:r>
      <w:r w:rsidR="00BF7057">
        <w:t xml:space="preserve"> to summarise the key environmental characteristics</w:t>
      </w:r>
      <w:r w:rsidR="00992137">
        <w:t xml:space="preserve"> of the</w:t>
      </w:r>
      <w:r w:rsidR="00BE0991">
        <w:t xml:space="preserve"> City of</w:t>
      </w:r>
      <w:r w:rsidR="00992137">
        <w:t xml:space="preserve"> Edinburgh Council area, focusing on SEA issues</w:t>
      </w:r>
      <w:r w:rsidR="00BF7057">
        <w:t>.</w:t>
      </w:r>
      <w:r w:rsidR="00E55460">
        <w:t xml:space="preserve"> Schedule </w:t>
      </w:r>
      <w:r w:rsidR="0051643D">
        <w:t>3 of the Environmental Assessment (Scotland) Act 2005</w:t>
      </w:r>
      <w:r w:rsidR="002C57F5">
        <w:t xml:space="preserve"> requires the Climate Strategy to be assessed against the following environmental issues:</w:t>
      </w:r>
    </w:p>
    <w:p w14:paraId="1E609ED2" w14:textId="77777777" w:rsidR="00EF7248" w:rsidRDefault="002C57F5" w:rsidP="00EA22CB">
      <w:pPr>
        <w:pStyle w:val="BodyText"/>
        <w:numPr>
          <w:ilvl w:val="0"/>
          <w:numId w:val="59"/>
        </w:numPr>
        <w:spacing w:before="120" w:after="120"/>
      </w:pPr>
      <w:r>
        <w:t>Air</w:t>
      </w:r>
      <w:r w:rsidR="00EF7248">
        <w:t xml:space="preserve"> Quality</w:t>
      </w:r>
    </w:p>
    <w:p w14:paraId="41114275" w14:textId="49B146CD" w:rsidR="002C57F5" w:rsidRDefault="00EF7248" w:rsidP="00EA22CB">
      <w:pPr>
        <w:pStyle w:val="BodyText"/>
        <w:numPr>
          <w:ilvl w:val="0"/>
          <w:numId w:val="59"/>
        </w:numPr>
        <w:spacing w:before="120" w:after="120"/>
      </w:pPr>
      <w:r>
        <w:t>C</w:t>
      </w:r>
      <w:r w:rsidR="002C57F5">
        <w:t>limatic factors</w:t>
      </w:r>
    </w:p>
    <w:p w14:paraId="74B1690C" w14:textId="49FF2FB8" w:rsidR="002C57F5" w:rsidRDefault="002C57F5" w:rsidP="00EA22CB">
      <w:pPr>
        <w:pStyle w:val="BodyText"/>
        <w:numPr>
          <w:ilvl w:val="0"/>
          <w:numId w:val="59"/>
        </w:numPr>
        <w:spacing w:before="120" w:after="120"/>
      </w:pPr>
      <w:r>
        <w:t>Land and soil</w:t>
      </w:r>
    </w:p>
    <w:p w14:paraId="5DD68C0B" w14:textId="3BCE89D2" w:rsidR="002C57F5" w:rsidRDefault="002C57F5" w:rsidP="00EA22CB">
      <w:pPr>
        <w:pStyle w:val="BodyText"/>
        <w:numPr>
          <w:ilvl w:val="0"/>
          <w:numId w:val="59"/>
        </w:numPr>
        <w:spacing w:before="120" w:after="120"/>
      </w:pPr>
      <w:r>
        <w:t>Water</w:t>
      </w:r>
    </w:p>
    <w:p w14:paraId="7D8A1C12" w14:textId="03170008" w:rsidR="002C57F5" w:rsidRDefault="002C57F5" w:rsidP="00EA22CB">
      <w:pPr>
        <w:pStyle w:val="BodyText"/>
        <w:numPr>
          <w:ilvl w:val="0"/>
          <w:numId w:val="59"/>
        </w:numPr>
        <w:spacing w:before="120" w:after="120"/>
      </w:pPr>
      <w:r>
        <w:t>Landscape and townscape</w:t>
      </w:r>
    </w:p>
    <w:p w14:paraId="2468F1FF" w14:textId="158A8530" w:rsidR="002C57F5" w:rsidRDefault="002C57F5" w:rsidP="00EA22CB">
      <w:pPr>
        <w:pStyle w:val="BodyText"/>
        <w:numPr>
          <w:ilvl w:val="0"/>
          <w:numId w:val="59"/>
        </w:numPr>
        <w:spacing w:before="120" w:after="120"/>
      </w:pPr>
      <w:r>
        <w:t>Biodiversity, flora and fauna</w:t>
      </w:r>
    </w:p>
    <w:p w14:paraId="7E2445A5" w14:textId="70CE3C15" w:rsidR="002C57F5" w:rsidRDefault="002C57F5" w:rsidP="00EA22CB">
      <w:pPr>
        <w:pStyle w:val="BodyText"/>
        <w:numPr>
          <w:ilvl w:val="0"/>
          <w:numId w:val="59"/>
        </w:numPr>
        <w:spacing w:before="120" w:after="120"/>
      </w:pPr>
      <w:r>
        <w:t>Material assets</w:t>
      </w:r>
    </w:p>
    <w:p w14:paraId="32E3E817" w14:textId="25443783" w:rsidR="002C57F5" w:rsidRDefault="002C57F5" w:rsidP="00EA22CB">
      <w:pPr>
        <w:pStyle w:val="BodyText"/>
        <w:numPr>
          <w:ilvl w:val="0"/>
          <w:numId w:val="59"/>
        </w:numPr>
        <w:spacing w:before="120" w:after="120"/>
      </w:pPr>
      <w:r>
        <w:t>Population and human health</w:t>
      </w:r>
    </w:p>
    <w:p w14:paraId="451251B7" w14:textId="13BE51E7" w:rsidR="002C57F5" w:rsidRDefault="002C57F5" w:rsidP="00EA22CB">
      <w:pPr>
        <w:pStyle w:val="BodyText"/>
        <w:numPr>
          <w:ilvl w:val="0"/>
          <w:numId w:val="59"/>
        </w:numPr>
        <w:spacing w:before="120" w:after="120"/>
      </w:pPr>
      <w:r>
        <w:t>Cultural heritage</w:t>
      </w:r>
    </w:p>
    <w:p w14:paraId="183B1934" w14:textId="4F693D4A" w:rsidR="00431025" w:rsidRDefault="00EF7248" w:rsidP="00431025">
      <w:pPr>
        <w:pStyle w:val="Para0"/>
        <w:spacing w:after="0"/>
        <w:jc w:val="both"/>
      </w:pPr>
      <w:r>
        <w:t>Appropriate baseline information is important to allow a ’Base Case’ or Business as Usual option to be developed.  The Base Case will be used in the SEA assessments, as a reference to help highlight particular environmental problems risks and opportunities.</w:t>
      </w:r>
    </w:p>
    <w:p w14:paraId="136113CE" w14:textId="77777777" w:rsidR="00431025" w:rsidRDefault="00431025" w:rsidP="00431025">
      <w:pPr>
        <w:pStyle w:val="Para0"/>
        <w:spacing w:after="0"/>
        <w:jc w:val="both"/>
      </w:pPr>
    </w:p>
    <w:p w14:paraId="5F790EF3" w14:textId="4DBAFAF5" w:rsidR="000328FC" w:rsidRDefault="007F0155" w:rsidP="00431025">
      <w:pPr>
        <w:pStyle w:val="TOCHeading"/>
        <w:spacing w:before="0"/>
      </w:pPr>
      <w:bookmarkStart w:id="4" w:name="_Toc99536673"/>
      <w:r>
        <w:t xml:space="preserve">Air </w:t>
      </w:r>
      <w:r w:rsidR="000C78CC">
        <w:t>Quality</w:t>
      </w:r>
      <w:bookmarkEnd w:id="4"/>
    </w:p>
    <w:p w14:paraId="5BFC8DBE" w14:textId="2EFDBFF1" w:rsidR="000328FC" w:rsidRDefault="000328FC" w:rsidP="000328FC">
      <w:pPr>
        <w:pStyle w:val="BodyText"/>
      </w:pPr>
      <w:r>
        <w:t>Edinburgh has six Air Quality Management Areas (AQMAs</w:t>
      </w:r>
      <w:r w:rsidR="00A80D0A">
        <w:t xml:space="preserve">; Figure </w:t>
      </w:r>
      <w:r w:rsidR="003336FD">
        <w:t>3</w:t>
      </w:r>
      <w:r w:rsidR="00A80D0A">
        <w:t xml:space="preserve">). </w:t>
      </w:r>
      <w:r>
        <w:t>Five of these AQMAs are in locations where annual mean limits for NO</w:t>
      </w:r>
      <w:r w:rsidRPr="00B91CF0">
        <w:rPr>
          <w:vertAlign w:val="subscript"/>
        </w:rPr>
        <w:t>2</w:t>
      </w:r>
      <w:r>
        <w:rPr>
          <w:rFonts w:ascii="Arial" w:hAnsi="Arial" w:cs="Arial"/>
        </w:rPr>
        <w:t> </w:t>
      </w:r>
      <w:r>
        <w:t>are regularly exceeded, these include:</w:t>
      </w:r>
      <w:r>
        <w:rPr>
          <w:rFonts w:ascii="Arial" w:hAnsi="Arial" w:cs="Arial"/>
        </w:rPr>
        <w:t>  </w:t>
      </w:r>
      <w:r>
        <w:t xml:space="preserve"> </w:t>
      </w:r>
    </w:p>
    <w:p w14:paraId="02D68E1D" w14:textId="678B4B1F" w:rsidR="000328FC" w:rsidRPr="004272D7" w:rsidRDefault="000328FC" w:rsidP="00EA22CB">
      <w:pPr>
        <w:pStyle w:val="BodyText"/>
        <w:numPr>
          <w:ilvl w:val="0"/>
          <w:numId w:val="60"/>
        </w:numPr>
        <w:spacing w:before="120" w:after="120"/>
      </w:pPr>
      <w:r w:rsidRPr="004272D7">
        <w:t>City Centre</w:t>
      </w:r>
      <w:r w:rsidRPr="004272D7">
        <w:rPr>
          <w:rFonts w:ascii="Arial" w:hAnsi="Arial" w:cs="Arial"/>
        </w:rPr>
        <w:t> </w:t>
      </w:r>
      <w:r w:rsidRPr="004272D7">
        <w:t xml:space="preserve"> </w:t>
      </w:r>
    </w:p>
    <w:p w14:paraId="7C16AB13" w14:textId="23A91E99" w:rsidR="000328FC" w:rsidRPr="004272D7" w:rsidRDefault="000328FC" w:rsidP="00EA22CB">
      <w:pPr>
        <w:pStyle w:val="BodyText"/>
        <w:numPr>
          <w:ilvl w:val="0"/>
          <w:numId w:val="60"/>
        </w:numPr>
        <w:spacing w:before="120" w:after="120"/>
      </w:pPr>
      <w:r w:rsidRPr="004272D7">
        <w:t>Glasgow Road</w:t>
      </w:r>
      <w:r w:rsidRPr="004272D7">
        <w:rPr>
          <w:rFonts w:ascii="Arial" w:hAnsi="Arial" w:cs="Arial"/>
        </w:rPr>
        <w:t> </w:t>
      </w:r>
      <w:r w:rsidRPr="004272D7">
        <w:t xml:space="preserve"> </w:t>
      </w:r>
    </w:p>
    <w:p w14:paraId="0CADEF1E" w14:textId="017E31F7" w:rsidR="000328FC" w:rsidRPr="004272D7" w:rsidRDefault="000328FC" w:rsidP="00EA22CB">
      <w:pPr>
        <w:pStyle w:val="BodyText"/>
        <w:numPr>
          <w:ilvl w:val="0"/>
          <w:numId w:val="60"/>
        </w:numPr>
        <w:spacing w:before="120" w:after="120"/>
      </w:pPr>
      <w:r w:rsidRPr="004272D7">
        <w:t>Great Junction Street</w:t>
      </w:r>
      <w:r w:rsidRPr="004272D7">
        <w:rPr>
          <w:rFonts w:ascii="Arial" w:hAnsi="Arial" w:cs="Arial"/>
        </w:rPr>
        <w:t> </w:t>
      </w:r>
      <w:r w:rsidRPr="004272D7">
        <w:t xml:space="preserve"> </w:t>
      </w:r>
    </w:p>
    <w:p w14:paraId="07BB1C02" w14:textId="4261B8FF" w:rsidR="000328FC" w:rsidRPr="004272D7" w:rsidRDefault="000328FC" w:rsidP="00EA22CB">
      <w:pPr>
        <w:pStyle w:val="BodyText"/>
        <w:numPr>
          <w:ilvl w:val="0"/>
          <w:numId w:val="60"/>
        </w:numPr>
        <w:spacing w:before="120" w:after="120"/>
      </w:pPr>
      <w:r w:rsidRPr="004272D7">
        <w:t>Inverleith</w:t>
      </w:r>
      <w:r w:rsidRPr="004272D7">
        <w:rPr>
          <w:rFonts w:ascii="Arial" w:hAnsi="Arial" w:cs="Arial"/>
        </w:rPr>
        <w:t> </w:t>
      </w:r>
      <w:r w:rsidRPr="004272D7">
        <w:t xml:space="preserve"> </w:t>
      </w:r>
    </w:p>
    <w:p w14:paraId="302E1E7E" w14:textId="1CA6019B" w:rsidR="000328FC" w:rsidRPr="004272D7" w:rsidRDefault="000328FC" w:rsidP="00EA22CB">
      <w:pPr>
        <w:pStyle w:val="BodyText"/>
        <w:numPr>
          <w:ilvl w:val="0"/>
          <w:numId w:val="60"/>
        </w:numPr>
        <w:spacing w:before="120" w:after="120"/>
      </w:pPr>
      <w:r w:rsidRPr="004272D7">
        <w:t>St John’s Road</w:t>
      </w:r>
      <w:r w:rsidRPr="004272D7">
        <w:rPr>
          <w:rFonts w:ascii="Arial" w:hAnsi="Arial" w:cs="Arial"/>
        </w:rPr>
        <w:t> </w:t>
      </w:r>
      <w:r w:rsidRPr="004272D7">
        <w:t xml:space="preserve"> </w:t>
      </w:r>
    </w:p>
    <w:p w14:paraId="7454903A" w14:textId="2E75935D" w:rsidR="000328FC" w:rsidRDefault="000328FC" w:rsidP="005D1208">
      <w:pPr>
        <w:pStyle w:val="BodyText"/>
        <w:spacing w:before="120"/>
      </w:pPr>
      <w:r>
        <w:t>There is only one AQMA, at Salamander Street, where annual mean limits for PM</w:t>
      </w:r>
      <w:r w:rsidRPr="00B91CF0">
        <w:rPr>
          <w:vertAlign w:val="subscript"/>
        </w:rPr>
        <w:t>10</w:t>
      </w:r>
      <w:r>
        <w:t xml:space="preserve"> are regularly exceeded. </w:t>
      </w:r>
    </w:p>
    <w:p w14:paraId="2B93D6E1" w14:textId="25DAAEFC" w:rsidR="005D1208" w:rsidRDefault="003336FD" w:rsidP="005D1208">
      <w:pPr>
        <w:pStyle w:val="Figurecaption0"/>
        <w:spacing w:before="120" w:after="0"/>
        <w:rPr>
          <w:noProof/>
        </w:rPr>
      </w:pPr>
      <w:r>
        <w:rPr>
          <w:noProof/>
        </w:rPr>
        <w:lastRenderedPageBreak/>
        <w:drawing>
          <wp:anchor distT="0" distB="0" distL="114300" distR="114300" simplePos="0" relativeHeight="251658240" behindDoc="1" locked="0" layoutInCell="1" allowOverlap="1" wp14:anchorId="7B5D5E62" wp14:editId="11438C26">
            <wp:simplePos x="0" y="0"/>
            <wp:positionH relativeFrom="margin">
              <wp:align>left</wp:align>
            </wp:positionH>
            <wp:positionV relativeFrom="paragraph">
              <wp:posOffset>39370</wp:posOffset>
            </wp:positionV>
            <wp:extent cx="4297045" cy="3219450"/>
            <wp:effectExtent l="0" t="0" r="8255" b="0"/>
            <wp:wrapTight wrapText="bothSides">
              <wp:wrapPolygon edited="0">
                <wp:start x="0" y="0"/>
                <wp:lineTo x="0" y="21472"/>
                <wp:lineTo x="21546" y="21472"/>
                <wp:lineTo x="21546" y="0"/>
                <wp:lineTo x="0" y="0"/>
              </wp:wrapPolygon>
            </wp:wrapTight>
            <wp:docPr id="11" name="Picture 11" descr="A map of Edinburgh outlining the location of the AQMAs currently decla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Edinburgh outlining the location of the AQMAs currently declared. "/>
                    <pic:cNvPicPr>
                      <a:picLocks noChangeAspect="1" noChangeArrowheads="1"/>
                    </pic:cNvPicPr>
                  </pic:nvPicPr>
                  <pic:blipFill rotWithShape="1">
                    <a:blip r:embed="rId20">
                      <a:extLst>
                        <a:ext uri="{28A0092B-C50C-407E-A947-70E740481C1C}">
                          <a14:useLocalDpi xmlns:a14="http://schemas.microsoft.com/office/drawing/2010/main" val="0"/>
                        </a:ext>
                      </a:extLst>
                    </a:blip>
                    <a:srcRect t="1" r="21561" b="36013"/>
                    <a:stretch/>
                  </pic:blipFill>
                  <pic:spPr bwMode="auto">
                    <a:xfrm>
                      <a:off x="0" y="0"/>
                      <a:ext cx="4302650" cy="32235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57179C" w14:textId="4E6A6587" w:rsidR="005C7E9D" w:rsidRDefault="005C7E9D" w:rsidP="005D1208">
      <w:pPr>
        <w:pStyle w:val="Figurecaption0"/>
        <w:spacing w:before="0"/>
      </w:pPr>
    </w:p>
    <w:p w14:paraId="34B1F525" w14:textId="77777777" w:rsidR="005D1208" w:rsidRDefault="005D1208" w:rsidP="005D1208">
      <w:pPr>
        <w:pStyle w:val="BodyText"/>
      </w:pPr>
    </w:p>
    <w:p w14:paraId="363C8267" w14:textId="77777777" w:rsidR="005D1208" w:rsidRDefault="005D1208" w:rsidP="005D1208">
      <w:pPr>
        <w:pStyle w:val="BodyText"/>
      </w:pPr>
    </w:p>
    <w:p w14:paraId="6339F47B" w14:textId="77777777" w:rsidR="005D1208" w:rsidRDefault="005D1208" w:rsidP="005D1208">
      <w:pPr>
        <w:pStyle w:val="BodyText"/>
      </w:pPr>
    </w:p>
    <w:p w14:paraId="583FDD70" w14:textId="77777777" w:rsidR="005D1208" w:rsidRDefault="005D1208" w:rsidP="005D1208">
      <w:pPr>
        <w:pStyle w:val="BodyText"/>
      </w:pPr>
    </w:p>
    <w:p w14:paraId="2DB471ED" w14:textId="77777777" w:rsidR="005D1208" w:rsidRDefault="005D1208" w:rsidP="005D1208">
      <w:pPr>
        <w:pStyle w:val="BodyText"/>
      </w:pPr>
    </w:p>
    <w:p w14:paraId="5DC3605F" w14:textId="6679F90F" w:rsidR="006C033A" w:rsidRDefault="006C033A" w:rsidP="005D1208">
      <w:pPr>
        <w:pStyle w:val="BodyText"/>
        <w:spacing w:before="360"/>
      </w:pPr>
    </w:p>
    <w:p w14:paraId="70549627" w14:textId="781150F9" w:rsidR="00B91CF0" w:rsidRDefault="00B91CF0" w:rsidP="005D1208">
      <w:pPr>
        <w:pStyle w:val="BodyText"/>
        <w:spacing w:before="360"/>
      </w:pPr>
    </w:p>
    <w:p w14:paraId="5F1DDE9E" w14:textId="75BC249F" w:rsidR="00B91CF0" w:rsidRDefault="00B91CF0" w:rsidP="003336FD">
      <w:pPr>
        <w:pStyle w:val="Figurecaption0"/>
        <w:spacing w:before="240" w:after="0"/>
      </w:pPr>
    </w:p>
    <w:p w14:paraId="4DD5CBCA" w14:textId="77777777" w:rsidR="00EA22CB" w:rsidRDefault="00EA22CB" w:rsidP="003336FD">
      <w:pPr>
        <w:pStyle w:val="Figurecaption0"/>
        <w:spacing w:before="240" w:after="0"/>
      </w:pPr>
    </w:p>
    <w:p w14:paraId="1A7CC2D0" w14:textId="304B9848" w:rsidR="003336FD" w:rsidRDefault="003336FD" w:rsidP="00EA22CB">
      <w:pPr>
        <w:pStyle w:val="Figurecaption0"/>
        <w:spacing w:before="0" w:after="0"/>
        <w:ind w:left="0"/>
      </w:pPr>
      <w:r>
        <w:t>Figure 3: AQMAs currently declared in Edinburgh (Air Quality in Scotland, 2021)</w:t>
      </w:r>
      <w:r>
        <w:rPr>
          <w:rStyle w:val="FootnoteReference"/>
        </w:rPr>
        <w:footnoteReference w:id="1"/>
      </w:r>
    </w:p>
    <w:p w14:paraId="25DA4D0F" w14:textId="0F4108FA" w:rsidR="00DF5D29" w:rsidRPr="00DF5D29" w:rsidRDefault="00DF5D29" w:rsidP="00DF5D29">
      <w:pPr>
        <w:pStyle w:val="BodyText"/>
        <w:spacing w:before="360" w:after="120"/>
        <w:rPr>
          <w:b/>
          <w:bCs/>
        </w:rPr>
      </w:pPr>
      <w:r w:rsidRPr="00DF5D29">
        <w:rPr>
          <w:b/>
          <w:bCs/>
        </w:rPr>
        <w:t>Key issues relevant to appraisal of Climate Strategy:</w:t>
      </w:r>
    </w:p>
    <w:p w14:paraId="49F592DB" w14:textId="77777777" w:rsidR="00DF5D29" w:rsidRDefault="00DF5D29" w:rsidP="00EA22CB">
      <w:pPr>
        <w:pStyle w:val="BodyText"/>
        <w:numPr>
          <w:ilvl w:val="0"/>
          <w:numId w:val="41"/>
        </w:numPr>
        <w:spacing w:before="120" w:after="120"/>
      </w:pPr>
      <w:r>
        <w:t>Edinburgh has six AQMAs,</w:t>
      </w:r>
      <w:r>
        <w:rPr>
          <w:rFonts w:ascii="Arial" w:hAnsi="Arial" w:cs="Arial"/>
        </w:rPr>
        <w:t> </w:t>
      </w:r>
      <w:r>
        <w:t>five</w:t>
      </w:r>
      <w:r>
        <w:rPr>
          <w:rFonts w:ascii="Arial" w:hAnsi="Arial" w:cs="Arial"/>
        </w:rPr>
        <w:t> </w:t>
      </w:r>
      <w:r>
        <w:t>AQMAs are</w:t>
      </w:r>
      <w:r>
        <w:rPr>
          <w:rFonts w:ascii="Arial" w:hAnsi="Arial" w:cs="Arial"/>
        </w:rPr>
        <w:t> </w:t>
      </w:r>
      <w:r>
        <w:t>in locations where annual mean limits for NO</w:t>
      </w:r>
      <w:r w:rsidRPr="00B91CF0">
        <w:rPr>
          <w:vertAlign w:val="subscript"/>
        </w:rPr>
        <w:t>2</w:t>
      </w:r>
      <w:r>
        <w:rPr>
          <w:rFonts w:ascii="Arial" w:hAnsi="Arial" w:cs="Arial"/>
        </w:rPr>
        <w:t> </w:t>
      </w:r>
      <w:r>
        <w:t>are</w:t>
      </w:r>
      <w:r>
        <w:rPr>
          <w:rFonts w:ascii="Arial" w:hAnsi="Arial" w:cs="Arial"/>
        </w:rPr>
        <w:t> </w:t>
      </w:r>
      <w:r>
        <w:t xml:space="preserve">regularly exceeded. </w:t>
      </w:r>
    </w:p>
    <w:p w14:paraId="54143AE8" w14:textId="10A00CE9" w:rsidR="00DF5D29" w:rsidRDefault="00DF5D29" w:rsidP="00EA22CB">
      <w:pPr>
        <w:pStyle w:val="BodyText"/>
        <w:numPr>
          <w:ilvl w:val="0"/>
          <w:numId w:val="41"/>
        </w:numPr>
        <w:spacing w:before="120" w:after="120"/>
      </w:pPr>
      <w:r>
        <w:t>There is one AQMA, at Salamander Street, where annual mean limits for PM</w:t>
      </w:r>
      <w:r w:rsidRPr="00B91CF0">
        <w:rPr>
          <w:vertAlign w:val="subscript"/>
        </w:rPr>
        <w:t>10</w:t>
      </w:r>
      <w:r>
        <w:t xml:space="preserve"> are regularly exceeded.</w:t>
      </w:r>
    </w:p>
    <w:p w14:paraId="56E5BA1E" w14:textId="16DC5519" w:rsidR="000C78CC" w:rsidRDefault="000C78CC" w:rsidP="008B56F2">
      <w:pPr>
        <w:pStyle w:val="TOCHeading"/>
      </w:pPr>
      <w:bookmarkStart w:id="5" w:name="_Toc99536674"/>
      <w:r>
        <w:t>Climatic Factors</w:t>
      </w:r>
      <w:bookmarkEnd w:id="5"/>
    </w:p>
    <w:p w14:paraId="630C54A2" w14:textId="490F9248" w:rsidR="000C78CC" w:rsidRDefault="000C78CC" w:rsidP="00EA22CB">
      <w:pPr>
        <w:pStyle w:val="BodyText"/>
        <w:rPr>
          <w:b/>
          <w:bCs/>
          <w:i/>
          <w:iCs/>
        </w:rPr>
      </w:pPr>
      <w:r>
        <w:t>Edinburgh is aiming to meet the current national reductions target (42% reduction by 2020 and 80% by 2050</w:t>
      </w:r>
      <w:r>
        <w:rPr>
          <w:rStyle w:val="FootnoteReference"/>
        </w:rPr>
        <w:footnoteReference w:id="2"/>
      </w:r>
      <w:r>
        <w:t>) for carbon emissions by reducing CO</w:t>
      </w:r>
      <w:r w:rsidRPr="00B91CF0">
        <w:rPr>
          <w:vertAlign w:val="subscript"/>
        </w:rPr>
        <w:t>2</w:t>
      </w:r>
      <w:r>
        <w:t xml:space="preserve"> emissions in the transport sector by 290kt CO</w:t>
      </w:r>
      <w:r w:rsidRPr="00B91CF0">
        <w:rPr>
          <w:vertAlign w:val="subscript"/>
        </w:rPr>
        <w:t>2</w:t>
      </w:r>
      <w:r w:rsidRPr="009978EB">
        <w:rPr>
          <w:rStyle w:val="FootnoteReference"/>
          <w:b/>
          <w:bCs/>
          <w:i/>
          <w:iCs/>
        </w:rPr>
        <w:footnoteReference w:id="3"/>
      </w:r>
      <w:r>
        <w:t>.</w:t>
      </w:r>
      <w:r w:rsidRPr="009978EB">
        <w:rPr>
          <w:b/>
          <w:bCs/>
          <w:i/>
          <w:iCs/>
        </w:rPr>
        <w:t xml:space="preserve"> </w:t>
      </w:r>
    </w:p>
    <w:p w14:paraId="2F53E794" w14:textId="6F09E5F4" w:rsidR="000504BB" w:rsidRDefault="000C78CC" w:rsidP="00EA22CB">
      <w:pPr>
        <w:pStyle w:val="BodyText"/>
      </w:pPr>
      <w:r>
        <w:t xml:space="preserve">Edinburgh has a maritime climate with cold and humid winters and mild summers, however Scotland’s climate is changing and the impacts on Edinburgh are already being felt. Climate </w:t>
      </w:r>
      <w:r w:rsidR="002F4DDA">
        <w:t>projections show</w:t>
      </w:r>
      <w:r>
        <w:t xml:space="preserve"> that Edinburgh will experience warmer and wetter winters, summers are expected to become hotter and drier, and occurrences of extreme rainfall events are expected to increase. In response, the City of Edinburgh Council continue to develop a variety of strategies, frameworks and goals to address the change in climate.  </w:t>
      </w:r>
    </w:p>
    <w:p w14:paraId="46451657" w14:textId="06C811BC" w:rsidR="00EF19FC" w:rsidRDefault="00CF6069" w:rsidP="00EA22CB">
      <w:pPr>
        <w:pStyle w:val="BodyText"/>
      </w:pPr>
      <w:r>
        <w:t>Data from the Met Office</w:t>
      </w:r>
      <w:r>
        <w:rPr>
          <w:rStyle w:val="FootnoteReference"/>
        </w:rPr>
        <w:footnoteReference w:id="4"/>
      </w:r>
      <w:r>
        <w:t xml:space="preserve"> shows a distinct warming trend for Edinburgh in line with climate change predictions</w:t>
      </w:r>
      <w:r w:rsidR="00DF678C">
        <w:t xml:space="preserve">, outlining </w:t>
      </w:r>
      <w:r>
        <w:t>a daytime temperature rise of 0.75</w:t>
      </w:r>
      <w:r w:rsidR="00567ABF">
        <w:rPr>
          <w:rFonts w:ascii="Arial" w:hAnsi="Arial" w:cs="Arial"/>
          <w:b/>
          <w:bCs/>
          <w:color w:val="202124"/>
          <w:sz w:val="21"/>
          <w:szCs w:val="21"/>
          <w:shd w:val="clear" w:color="auto" w:fill="FFFFFF"/>
        </w:rPr>
        <w:t>°</w:t>
      </w:r>
      <w:r w:rsidR="00567ABF">
        <w:t>c</w:t>
      </w:r>
      <w:r>
        <w:t xml:space="preserve"> comparing 1961-1990 averages with those of 1981-2010. As well as warming, climate change trends predict drier summers for </w:t>
      </w:r>
      <w:r w:rsidR="00CE332F">
        <w:t>southeast</w:t>
      </w:r>
      <w:r>
        <w:t xml:space="preserve"> Scotland, with periods of intense rainfall</w:t>
      </w:r>
      <w:r w:rsidR="00787037">
        <w:t xml:space="preserve"> projected to become more extreme. </w:t>
      </w:r>
    </w:p>
    <w:p w14:paraId="3C58C04B" w14:textId="1E9AD53E" w:rsidR="00C81B05" w:rsidRDefault="00326460" w:rsidP="00EA22CB">
      <w:pPr>
        <w:pStyle w:val="BodyText"/>
        <w:rPr>
          <w:lang w:eastAsia="en-US"/>
        </w:rPr>
      </w:pPr>
      <w:r>
        <w:lastRenderedPageBreak/>
        <w:t>While Edinburgh has suffered from a number of river floods, coastal flooding has not been a significant issue up to now. However</w:t>
      </w:r>
      <w:r w:rsidR="009013CC">
        <w:t>,</w:t>
      </w:r>
      <w:r>
        <w:t xml:space="preserve"> there are concerns that climate change could lead to more widespread coastal flooding, resulting from a combination of rising sea levels (see Figure </w:t>
      </w:r>
      <w:r w:rsidR="003336FD">
        <w:t>4</w:t>
      </w:r>
      <w:r>
        <w:t>), increased frequency of storm surges, and rougher sea conditions</w:t>
      </w:r>
      <w:r w:rsidR="00DF5D29">
        <w:t>.</w:t>
      </w:r>
      <w:r w:rsidR="00F26E2C">
        <w:t xml:space="preserve"> </w:t>
      </w:r>
      <w:r w:rsidR="00C81B05">
        <w:t>The Dynamic Coast – The National Overview 2021</w:t>
      </w:r>
      <w:r w:rsidR="004A3777">
        <w:rPr>
          <w:rStyle w:val="FootnoteReference"/>
        </w:rPr>
        <w:footnoteReference w:id="5"/>
      </w:r>
      <w:r w:rsidR="00C81B05">
        <w:t xml:space="preserve"> report draws upon the latest climate projections on sea level rise, </w:t>
      </w:r>
      <w:r w:rsidR="00C81B05">
        <w:rPr>
          <w:lang w:eastAsia="en-US"/>
        </w:rPr>
        <w:t>providing strategic evidence on the</w:t>
      </w:r>
      <w:r w:rsidR="002F4DDA">
        <w:rPr>
          <w:lang w:eastAsia="en-US"/>
        </w:rPr>
        <w:t xml:space="preserve"> projected</w:t>
      </w:r>
      <w:r w:rsidR="00C81B05">
        <w:rPr>
          <w:lang w:eastAsia="en-US"/>
        </w:rPr>
        <w:t xml:space="preserve"> extent of coastal erosion in Scotland. Importantly, national-level modelling of Scotland’s wave-dominated soft coast reveals that coastal erosion currently affects 46% of soft shorelines (an increase from 38% over that report in 2017). The extent and rate of coastal erosion, and the risk to coastal assets, is expected to increase under all emissions scenarios. </w:t>
      </w:r>
    </w:p>
    <w:p w14:paraId="3A9AA573" w14:textId="6D975B63" w:rsidR="00DF5D29" w:rsidRDefault="00C81B05" w:rsidP="001B4041">
      <w:pPr>
        <w:pStyle w:val="BodyText"/>
      </w:pPr>
      <w:r>
        <w:t>In addition to the above, t</w:t>
      </w:r>
      <w:r w:rsidR="00F26E2C">
        <w:t>he frequency of severe rainfall events and flooding in the city is expected to increase in the coming decades</w:t>
      </w:r>
      <w:r w:rsidR="00F26E2C">
        <w:rPr>
          <w:rStyle w:val="FootnoteReference"/>
        </w:rPr>
        <w:footnoteReference w:id="6"/>
      </w:r>
      <w:r w:rsidR="00F26E2C">
        <w:t>. Instances of intense and prolonged summer rainfall have caused localised disruption and damage, with flooding resulting from a combination of surface water and surcharged drainage.</w:t>
      </w:r>
      <w:r w:rsidR="001B4041">
        <w:t xml:space="preserve"> UKCP18 projections indicate that Scottish winters will become wetter, with more heavy rainfall and a greater number of wet days, although this increase is less extreme in east Scotland than in the west. In summer months, total rainfall amounts are expected to decrease, while convectional rainfall will trigger storms between 10% and 45% more extreme than at present.</w:t>
      </w:r>
    </w:p>
    <w:p w14:paraId="680BCEC9" w14:textId="6299C432" w:rsidR="003336FD" w:rsidRDefault="001B4041" w:rsidP="003336FD">
      <w:pPr>
        <w:pStyle w:val="Figurecaption0"/>
      </w:pPr>
      <w:r>
        <w:rPr>
          <w:rFonts w:ascii="Jacobs Chronos" w:hAnsi="Jacobs Chronos"/>
          <w:noProof/>
        </w:rPr>
        <w:drawing>
          <wp:anchor distT="0" distB="0" distL="114300" distR="114300" simplePos="0" relativeHeight="251684864" behindDoc="1" locked="0" layoutInCell="1" allowOverlap="1" wp14:anchorId="4A867E4C" wp14:editId="04332BA2">
            <wp:simplePos x="0" y="0"/>
            <wp:positionH relativeFrom="margin">
              <wp:posOffset>0</wp:posOffset>
            </wp:positionH>
            <wp:positionV relativeFrom="paragraph">
              <wp:posOffset>313690</wp:posOffset>
            </wp:positionV>
            <wp:extent cx="5634355" cy="2404110"/>
            <wp:effectExtent l="0" t="0" r="4445" b="0"/>
            <wp:wrapTight wrapText="bothSides">
              <wp:wrapPolygon edited="0">
                <wp:start x="0" y="0"/>
                <wp:lineTo x="0" y="21395"/>
                <wp:lineTo x="21544" y="21395"/>
                <wp:lineTo x="21544" y="0"/>
                <wp:lineTo x="0" y="0"/>
              </wp:wrapPolygon>
            </wp:wrapTight>
            <wp:docPr id="13" name="Picture 13" descr="A chart showing the UKCP18 daily average precipitation for the baseline and future 2070s period under the high emissions, provided by the City of Edinburg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hart showing the UKCP18 daily average precipitation for the baseline and future 2070s period under the high emissions, provided by the City of Edinburgh Council."/>
                    <pic:cNvPicPr/>
                  </pic:nvPicPr>
                  <pic:blipFill>
                    <a:blip r:embed="rId21">
                      <a:extLst>
                        <a:ext uri="{28A0092B-C50C-407E-A947-70E740481C1C}">
                          <a14:useLocalDpi xmlns:a14="http://schemas.microsoft.com/office/drawing/2010/main" val="0"/>
                        </a:ext>
                      </a:extLst>
                    </a:blip>
                    <a:stretch>
                      <a:fillRect/>
                    </a:stretch>
                  </pic:blipFill>
                  <pic:spPr>
                    <a:xfrm>
                      <a:off x="0" y="0"/>
                      <a:ext cx="5634355" cy="2404110"/>
                    </a:xfrm>
                    <a:prstGeom prst="rect">
                      <a:avLst/>
                    </a:prstGeom>
                  </pic:spPr>
                </pic:pic>
              </a:graphicData>
            </a:graphic>
            <wp14:sizeRelH relativeFrom="page">
              <wp14:pctWidth>0</wp14:pctWidth>
            </wp14:sizeRelH>
            <wp14:sizeRelV relativeFrom="page">
              <wp14:pctHeight>0</wp14:pctHeight>
            </wp14:sizeRelV>
          </wp:anchor>
        </w:drawing>
      </w:r>
    </w:p>
    <w:p w14:paraId="7AA8DDE5" w14:textId="77777777" w:rsidR="003336FD" w:rsidRDefault="003336FD" w:rsidP="003336FD">
      <w:pPr>
        <w:pStyle w:val="Figurecaption0"/>
      </w:pPr>
    </w:p>
    <w:p w14:paraId="5AB84CFA" w14:textId="77777777" w:rsidR="003336FD" w:rsidRDefault="003336FD" w:rsidP="003336FD">
      <w:pPr>
        <w:pStyle w:val="Figurecaption0"/>
      </w:pPr>
    </w:p>
    <w:p w14:paraId="74283509" w14:textId="77777777" w:rsidR="003336FD" w:rsidRDefault="003336FD" w:rsidP="003336FD">
      <w:pPr>
        <w:pStyle w:val="Figurecaption0"/>
      </w:pPr>
    </w:p>
    <w:p w14:paraId="7E3DE5B3" w14:textId="77777777" w:rsidR="003336FD" w:rsidRDefault="003336FD" w:rsidP="003336FD">
      <w:pPr>
        <w:pStyle w:val="Figurecaption0"/>
      </w:pPr>
    </w:p>
    <w:p w14:paraId="479D129C" w14:textId="77777777" w:rsidR="00EA22CB" w:rsidRDefault="00EA22CB" w:rsidP="00EA22CB">
      <w:pPr>
        <w:pStyle w:val="Figurecaption0"/>
        <w:spacing w:before="120"/>
        <w:ind w:left="0"/>
      </w:pPr>
    </w:p>
    <w:p w14:paraId="0B726DB6" w14:textId="3FE794C4" w:rsidR="00C81B05" w:rsidRDefault="00C81B05" w:rsidP="00EA22CB">
      <w:pPr>
        <w:pStyle w:val="Figurecaption0"/>
        <w:spacing w:before="120"/>
        <w:ind w:left="0"/>
      </w:pPr>
    </w:p>
    <w:p w14:paraId="3242FF24" w14:textId="77777777" w:rsidR="00C81B05" w:rsidRDefault="00C81B05" w:rsidP="00EA22CB">
      <w:pPr>
        <w:pStyle w:val="Figurecaption0"/>
        <w:spacing w:before="120"/>
        <w:ind w:left="0"/>
      </w:pPr>
    </w:p>
    <w:p w14:paraId="1EC363D8" w14:textId="77777777" w:rsidR="001D38C0" w:rsidRDefault="001D38C0" w:rsidP="00EA22CB">
      <w:pPr>
        <w:pStyle w:val="Figurecaption0"/>
        <w:spacing w:before="120"/>
        <w:ind w:left="0"/>
      </w:pPr>
    </w:p>
    <w:p w14:paraId="145D0D6C" w14:textId="3A1DA804" w:rsidR="003336FD" w:rsidRDefault="003336FD" w:rsidP="00EA22CB">
      <w:pPr>
        <w:pStyle w:val="Figurecaption0"/>
        <w:spacing w:before="120"/>
        <w:ind w:left="0"/>
      </w:pPr>
      <w:r>
        <w:t>Figure 4:</w:t>
      </w:r>
      <w:r w:rsidR="00EA22CB">
        <w:t xml:space="preserve"> </w:t>
      </w:r>
      <w:r w:rsidR="001B4041">
        <w:t>UKCP18 Daily average precipitation for the baseline and future 2070s period under the high emissions (provided by the City of Edinburgh Council)</w:t>
      </w:r>
    </w:p>
    <w:p w14:paraId="304A8A5A" w14:textId="34F3758E" w:rsidR="001B4041" w:rsidRDefault="001B4041" w:rsidP="00EA22CB">
      <w:pPr>
        <w:pStyle w:val="BodyText"/>
        <w:rPr>
          <w:rFonts w:eastAsia="Arial" w:cstheme="majorHAnsi"/>
          <w:kern w:val="24"/>
        </w:rPr>
      </w:pPr>
      <w:r w:rsidRPr="009018BF">
        <w:rPr>
          <w:rFonts w:cstheme="majorHAnsi"/>
        </w:rPr>
        <w:t>S</w:t>
      </w:r>
      <w:r w:rsidRPr="00AC78EE">
        <w:rPr>
          <w:rFonts w:cstheme="majorHAnsi"/>
        </w:rPr>
        <w:t>ea levels in the UK rose at a rate of around 1.4 mm/year in the 20</w:t>
      </w:r>
      <w:r w:rsidRPr="00AC78EE">
        <w:rPr>
          <w:rFonts w:cstheme="majorHAnsi"/>
          <w:vertAlign w:val="superscript"/>
        </w:rPr>
        <w:t>th</w:t>
      </w:r>
      <w:r w:rsidRPr="00AC78EE">
        <w:rPr>
          <w:rFonts w:cstheme="majorHAnsi"/>
        </w:rPr>
        <w:t xml:space="preserve"> century</w:t>
      </w:r>
      <w:r w:rsidRPr="009018BF">
        <w:rPr>
          <w:rStyle w:val="FootnoteReference"/>
          <w:rFonts w:cstheme="majorHAnsi"/>
        </w:rPr>
        <w:footnoteReference w:id="7"/>
      </w:r>
      <w:r w:rsidRPr="009018BF">
        <w:rPr>
          <w:rFonts w:cstheme="majorHAnsi"/>
        </w:rPr>
        <w:t xml:space="preserve">. This is associated with the increase in global temperatures and its impact on oceanic thermal expansion and ice melt. This trend is projected </w:t>
      </w:r>
      <w:r w:rsidRPr="00AC78EE">
        <w:rPr>
          <w:rFonts w:cstheme="majorHAnsi"/>
        </w:rPr>
        <w:t>to continue to the end of the 21</w:t>
      </w:r>
      <w:r w:rsidRPr="00AC78EE">
        <w:rPr>
          <w:rFonts w:cstheme="majorHAnsi"/>
          <w:vertAlign w:val="superscript"/>
        </w:rPr>
        <w:t>st</w:t>
      </w:r>
      <w:r w:rsidRPr="00AC78EE">
        <w:rPr>
          <w:rFonts w:cstheme="majorHAnsi"/>
        </w:rPr>
        <w:t xml:space="preserve"> century and beyo</w:t>
      </w:r>
      <w:r w:rsidRPr="00CE635D">
        <w:rPr>
          <w:rFonts w:cstheme="majorHAnsi"/>
        </w:rPr>
        <w:t xml:space="preserve">nd. </w:t>
      </w:r>
      <w:r w:rsidRPr="00CE635D">
        <w:rPr>
          <w:rFonts w:cstheme="majorHAnsi"/>
          <w:kern w:val="24"/>
          <w:lang w:val="en-US"/>
        </w:rPr>
        <w:t xml:space="preserve">Edinburgh’s coast is projected to experience the impacts of sea level rise. Rates of increase </w:t>
      </w:r>
      <w:r w:rsidRPr="00DE7CFF">
        <w:rPr>
          <w:rFonts w:eastAsia="Arial" w:cstheme="majorHAnsi"/>
          <w:kern w:val="24"/>
        </w:rPr>
        <w:t xml:space="preserve">are largely independent of </w:t>
      </w:r>
      <w:r>
        <w:rPr>
          <w:rFonts w:eastAsia="Arial" w:cstheme="majorHAnsi"/>
          <w:kern w:val="24"/>
        </w:rPr>
        <w:t xml:space="preserve">all </w:t>
      </w:r>
      <w:r w:rsidRPr="00DE7CFF">
        <w:rPr>
          <w:rFonts w:eastAsia="Arial" w:cstheme="majorHAnsi"/>
          <w:kern w:val="24"/>
        </w:rPr>
        <w:t>emissions scenario</w:t>
      </w:r>
      <w:r w:rsidR="002F4DDA">
        <w:rPr>
          <w:rFonts w:eastAsia="Arial" w:cstheme="majorHAnsi"/>
          <w:kern w:val="24"/>
        </w:rPr>
        <w:t>s</w:t>
      </w:r>
      <w:r w:rsidRPr="00DE7CFF">
        <w:rPr>
          <w:rFonts w:eastAsia="Arial" w:cstheme="majorHAnsi"/>
          <w:kern w:val="24"/>
        </w:rPr>
        <w:t xml:space="preserve"> over the next 20 years, with increases of 16-20 cm possible relative to the 1981-2000 baseline (see Figure 5). </w:t>
      </w:r>
      <w:r w:rsidRPr="000128F2">
        <w:rPr>
          <w:rFonts w:eastAsia="Arial" w:cstheme="majorHAnsi"/>
          <w:kern w:val="24"/>
        </w:rPr>
        <w:t>Rates vary notably in the latter half of the century, with possible increases as high as 90 cm under the high emissions scenario. A medium emissions scenario results in sea level rise of 30-40 cm but with the possibility of rising by up to 60 cm</w:t>
      </w:r>
      <w:r>
        <w:rPr>
          <w:rFonts w:eastAsia="Arial" w:cstheme="majorHAnsi"/>
          <w:kern w:val="24"/>
        </w:rPr>
        <w:t>.</w:t>
      </w:r>
    </w:p>
    <w:p w14:paraId="3FF75812" w14:textId="04D12C1C" w:rsidR="00E34E24" w:rsidRDefault="00BE2418" w:rsidP="00EA22CB">
      <w:pPr>
        <w:pStyle w:val="BodyText"/>
      </w:pPr>
      <w:r>
        <w:lastRenderedPageBreak/>
        <w:t xml:space="preserve">As Figure </w:t>
      </w:r>
      <w:r w:rsidR="003336FD">
        <w:t xml:space="preserve">5 </w:t>
      </w:r>
      <w:r>
        <w:t>show</w:t>
      </w:r>
      <w:r w:rsidR="001B4041">
        <w:t>s</w:t>
      </w:r>
      <w:r>
        <w:t xml:space="preserve">, </w:t>
      </w:r>
      <w:r w:rsidR="001B4041">
        <w:t>sea level change in</w:t>
      </w:r>
      <w:r>
        <w:t xml:space="preserve"> Edinburgh will continue to </w:t>
      </w:r>
      <w:r w:rsidR="001B4041">
        <w:t>increase over the next 80 years</w:t>
      </w:r>
      <w:r>
        <w:t xml:space="preserve">. </w:t>
      </w:r>
    </w:p>
    <w:p w14:paraId="494AFC2D" w14:textId="6795F161" w:rsidR="00CF5D17" w:rsidRDefault="001B4041" w:rsidP="00B41050">
      <w:pPr>
        <w:pStyle w:val="BulletLevel2"/>
        <w:numPr>
          <w:ilvl w:val="0"/>
          <w:numId w:val="0"/>
        </w:numPr>
        <w:spacing w:before="0"/>
        <w:jc w:val="center"/>
        <w:rPr>
          <w:b/>
          <w:bCs/>
          <w:i/>
          <w:iCs/>
        </w:rPr>
      </w:pPr>
      <w:r>
        <w:rPr>
          <w:noProof/>
        </w:rPr>
        <w:drawing>
          <wp:inline distT="0" distB="0" distL="0" distR="0" wp14:anchorId="7FBEB1FB" wp14:editId="285933D6">
            <wp:extent cx="3501081" cy="3152714"/>
            <wp:effectExtent l="0" t="0" r="4445" b="0"/>
            <wp:docPr id="26" name="Picture 26" descr="A chart showing seal level rise to 2100 using the UKCP18 probabilistic proj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hart showing seal level rise to 2100 using the UKCP18 probabilistic projections. "/>
                    <pic:cNvPicPr/>
                  </pic:nvPicPr>
                  <pic:blipFill>
                    <a:blip r:embed="rId22">
                      <a:extLst>
                        <a:ext uri="{28A0092B-C50C-407E-A947-70E740481C1C}">
                          <a14:useLocalDpi xmlns:a14="http://schemas.microsoft.com/office/drawing/2010/main" val="0"/>
                        </a:ext>
                      </a:extLst>
                    </a:blip>
                    <a:stretch>
                      <a:fillRect/>
                    </a:stretch>
                  </pic:blipFill>
                  <pic:spPr>
                    <a:xfrm>
                      <a:off x="0" y="0"/>
                      <a:ext cx="3511334" cy="3161947"/>
                    </a:xfrm>
                    <a:prstGeom prst="rect">
                      <a:avLst/>
                    </a:prstGeom>
                  </pic:spPr>
                </pic:pic>
              </a:graphicData>
            </a:graphic>
          </wp:inline>
        </w:drawing>
      </w:r>
    </w:p>
    <w:p w14:paraId="2B43BA3F" w14:textId="60B7233F" w:rsidR="00EA22CB" w:rsidRPr="00EA22CB" w:rsidRDefault="003336FD" w:rsidP="00EA22CB">
      <w:pPr>
        <w:pStyle w:val="Figurecaption0"/>
        <w:rPr>
          <w:b/>
          <w:bCs/>
          <w:i/>
          <w:iCs/>
        </w:rPr>
      </w:pPr>
      <w:r>
        <w:t xml:space="preserve">Figure 5: </w:t>
      </w:r>
      <w:r w:rsidR="001B4041">
        <w:t>Sea level rise to 2100 using the UKCP18 probabilistic projections (provided by Atkins Ltd Edinburgh Climate Change and Adaptation Assessment 2021/22)</w:t>
      </w:r>
    </w:p>
    <w:p w14:paraId="1CC3DF35" w14:textId="6CD01E7F" w:rsidR="003336FD" w:rsidRDefault="003336FD" w:rsidP="00EA22CB">
      <w:pPr>
        <w:pStyle w:val="BodyText"/>
      </w:pPr>
      <w:r>
        <w:t xml:space="preserve">As </w:t>
      </w:r>
      <w:r w:rsidR="001B4041">
        <w:t xml:space="preserve">summarised </w:t>
      </w:r>
      <w:r>
        <w:t xml:space="preserve">in Table </w:t>
      </w:r>
      <w:r w:rsidR="00692ECC">
        <w:t>A.1</w:t>
      </w:r>
      <w:r>
        <w:t>, the following changes to local conditions can be expected</w:t>
      </w:r>
      <w:r>
        <w:rPr>
          <w:rStyle w:val="FootnoteReference"/>
        </w:rPr>
        <w:footnoteReference w:id="8"/>
      </w:r>
      <w:r>
        <w:t>.</w:t>
      </w:r>
    </w:p>
    <w:p w14:paraId="7FC348B4" w14:textId="44CEFF9F" w:rsidR="00CE332F" w:rsidRDefault="00CE332F" w:rsidP="00EA22CB">
      <w:pPr>
        <w:pStyle w:val="Figurecaption0"/>
        <w:ind w:left="0"/>
        <w:rPr>
          <w:b/>
          <w:bCs/>
          <w:i/>
          <w:iCs/>
        </w:rPr>
      </w:pPr>
      <w:r>
        <w:t xml:space="preserve">Table </w:t>
      </w:r>
      <w:r w:rsidR="00692ECC">
        <w:t>A.1</w:t>
      </w:r>
      <w:r>
        <w:t>: Expected changes in Edinburgh’s climate and weather conditions</w:t>
      </w:r>
    </w:p>
    <w:tbl>
      <w:tblPr>
        <w:tblStyle w:val="TableGrid"/>
        <w:tblW w:w="0" w:type="auto"/>
        <w:tblLook w:val="04A0" w:firstRow="1" w:lastRow="0" w:firstColumn="1" w:lastColumn="0" w:noHBand="0" w:noVBand="1"/>
      </w:tblPr>
      <w:tblGrid>
        <w:gridCol w:w="4768"/>
        <w:gridCol w:w="4768"/>
      </w:tblGrid>
      <w:tr w:rsidR="00CE332F" w:rsidRPr="00F9391E" w14:paraId="214F7FB4" w14:textId="77777777" w:rsidTr="00533158">
        <w:trPr>
          <w:trHeight w:val="341"/>
        </w:trPr>
        <w:tc>
          <w:tcPr>
            <w:tcW w:w="4768" w:type="dxa"/>
            <w:shd w:val="clear" w:color="auto" w:fill="004595"/>
          </w:tcPr>
          <w:p w14:paraId="01C92951" w14:textId="77777777" w:rsidR="00CE332F" w:rsidRPr="00890CF7" w:rsidRDefault="00CE332F" w:rsidP="00890CF7">
            <w:pPr>
              <w:pStyle w:val="TableText"/>
              <w:rPr>
                <w:b/>
                <w:bCs/>
              </w:rPr>
            </w:pPr>
            <w:r w:rsidRPr="00890CF7">
              <w:rPr>
                <w:b/>
                <w:bCs/>
              </w:rPr>
              <w:t>Changes in Conditions</w:t>
            </w:r>
          </w:p>
        </w:tc>
        <w:tc>
          <w:tcPr>
            <w:tcW w:w="4768" w:type="dxa"/>
            <w:shd w:val="clear" w:color="auto" w:fill="004595"/>
          </w:tcPr>
          <w:p w14:paraId="1D42A8B9" w14:textId="77777777" w:rsidR="00CE332F" w:rsidRPr="00890CF7" w:rsidRDefault="00CE332F" w:rsidP="00890CF7">
            <w:pPr>
              <w:pStyle w:val="TableText"/>
              <w:rPr>
                <w:b/>
                <w:bCs/>
              </w:rPr>
            </w:pPr>
            <w:r w:rsidRPr="00890CF7">
              <w:rPr>
                <w:b/>
                <w:bCs/>
              </w:rPr>
              <w:t>‘Overall Confidence’ in scientific evidence for each change</w:t>
            </w:r>
          </w:p>
        </w:tc>
      </w:tr>
      <w:tr w:rsidR="00CE332F" w:rsidRPr="00F9391E" w14:paraId="13634544" w14:textId="77777777" w:rsidTr="00533158">
        <w:tc>
          <w:tcPr>
            <w:tcW w:w="4768" w:type="dxa"/>
            <w:hideMark/>
          </w:tcPr>
          <w:p w14:paraId="01E2D33E" w14:textId="05E960DB" w:rsidR="00CE332F" w:rsidRPr="00F9391E" w:rsidRDefault="00787037" w:rsidP="00890CF7">
            <w:pPr>
              <w:pStyle w:val="TableText"/>
              <w:rPr>
                <w:lang w:val="en-US"/>
              </w:rPr>
            </w:pPr>
            <w:r w:rsidRPr="00787037">
              <w:t>Minimum, average and maximum daily temperatures will increase in all seasons, with the greatest increase in summer</w:t>
            </w:r>
          </w:p>
        </w:tc>
        <w:tc>
          <w:tcPr>
            <w:tcW w:w="4768" w:type="dxa"/>
            <w:hideMark/>
          </w:tcPr>
          <w:p w14:paraId="75CEA37F" w14:textId="77777777" w:rsidR="00CE332F" w:rsidRPr="00F9391E" w:rsidRDefault="00CE332F" w:rsidP="00890CF7">
            <w:pPr>
              <w:pStyle w:val="TableText"/>
              <w:rPr>
                <w:lang w:val="en-US"/>
              </w:rPr>
            </w:pPr>
            <w:r w:rsidRPr="00F9391E">
              <w:rPr>
                <w:lang w:val="en-US"/>
              </w:rPr>
              <w:t>High/Medium</w:t>
            </w:r>
          </w:p>
        </w:tc>
      </w:tr>
      <w:tr w:rsidR="00CE332F" w:rsidRPr="00F9391E" w14:paraId="3A9296A5" w14:textId="77777777" w:rsidTr="00533158">
        <w:tc>
          <w:tcPr>
            <w:tcW w:w="4768" w:type="dxa"/>
            <w:hideMark/>
          </w:tcPr>
          <w:p w14:paraId="6264EB23" w14:textId="254FF0CB" w:rsidR="00CE332F" w:rsidRPr="00F26E2C" w:rsidRDefault="00787037" w:rsidP="00890CF7">
            <w:pPr>
              <w:pStyle w:val="TableText"/>
              <w:rPr>
                <w:lang w:val="en-US"/>
              </w:rPr>
            </w:pPr>
            <w:r w:rsidRPr="00F26E2C">
              <w:t>What is considered a heatwave (projected to become around 4 times more frequent in the latter half of the 21</w:t>
            </w:r>
            <w:r w:rsidRPr="00F26E2C">
              <w:rPr>
                <w:sz w:val="15"/>
                <w:szCs w:val="15"/>
                <w:vertAlign w:val="superscript"/>
              </w:rPr>
              <w:t>st</w:t>
            </w:r>
            <w:r w:rsidRPr="00F26E2C">
              <w:t xml:space="preserve"> century) or extremely hot summer today will occur more frequently in future (Up to a 5°C temperature increase during summer months by the 2070s)</w:t>
            </w:r>
          </w:p>
        </w:tc>
        <w:tc>
          <w:tcPr>
            <w:tcW w:w="4768" w:type="dxa"/>
            <w:hideMark/>
          </w:tcPr>
          <w:p w14:paraId="549D88B6" w14:textId="77777777" w:rsidR="00CE332F" w:rsidRPr="00F9391E" w:rsidRDefault="00CE332F" w:rsidP="00890CF7">
            <w:pPr>
              <w:pStyle w:val="TableText"/>
              <w:rPr>
                <w:lang w:val="en-US"/>
              </w:rPr>
            </w:pPr>
            <w:r w:rsidRPr="00F9391E">
              <w:rPr>
                <w:lang w:val="en-US"/>
              </w:rPr>
              <w:t>Medium</w:t>
            </w:r>
          </w:p>
        </w:tc>
      </w:tr>
      <w:tr w:rsidR="00CE332F" w:rsidRPr="00F9391E" w14:paraId="069DB322" w14:textId="77777777" w:rsidTr="00533158">
        <w:tc>
          <w:tcPr>
            <w:tcW w:w="4768" w:type="dxa"/>
            <w:hideMark/>
          </w:tcPr>
          <w:p w14:paraId="24A9FA54" w14:textId="19633319" w:rsidR="00CE332F" w:rsidRPr="00F26E2C" w:rsidRDefault="00787037" w:rsidP="00890CF7">
            <w:pPr>
              <w:pStyle w:val="TableText"/>
              <w:rPr>
                <w:lang w:val="en-US"/>
              </w:rPr>
            </w:pPr>
            <w:r w:rsidRPr="00F26E2C">
              <w:t>Rainfall is projected to become more seasonal, with an increase in average winter and autumn rainfall. Average summer rainfall</w:t>
            </w:r>
            <w:r w:rsidR="00F26E2C" w:rsidRPr="00F26E2C">
              <w:t xml:space="preserve"> </w:t>
            </w:r>
            <w:r w:rsidRPr="00F26E2C">
              <w:t>is projected to decrease in Edinburgh in coming decades</w:t>
            </w:r>
          </w:p>
        </w:tc>
        <w:tc>
          <w:tcPr>
            <w:tcW w:w="4768" w:type="dxa"/>
            <w:hideMark/>
          </w:tcPr>
          <w:p w14:paraId="27F53FCF" w14:textId="77777777" w:rsidR="00CE332F" w:rsidRPr="00F9391E" w:rsidRDefault="00CE332F" w:rsidP="00890CF7">
            <w:pPr>
              <w:pStyle w:val="TableText"/>
              <w:rPr>
                <w:lang w:val="en-US"/>
              </w:rPr>
            </w:pPr>
            <w:r w:rsidRPr="00F9391E">
              <w:rPr>
                <w:lang w:val="en-US"/>
              </w:rPr>
              <w:t>Medium/Low</w:t>
            </w:r>
          </w:p>
        </w:tc>
      </w:tr>
      <w:tr w:rsidR="00CE332F" w:rsidRPr="00F9391E" w14:paraId="0CC57D99" w14:textId="77777777" w:rsidTr="00533158">
        <w:tc>
          <w:tcPr>
            <w:tcW w:w="4768" w:type="dxa"/>
            <w:hideMark/>
          </w:tcPr>
          <w:p w14:paraId="6AEDC50A" w14:textId="24A664F2" w:rsidR="00CE332F" w:rsidRPr="00F26E2C" w:rsidRDefault="00F26E2C" w:rsidP="00890CF7">
            <w:pPr>
              <w:pStyle w:val="TableText"/>
              <w:rPr>
                <w:lang w:val="en-US"/>
              </w:rPr>
            </w:pPr>
            <w:r w:rsidRPr="00F26E2C">
              <w:t xml:space="preserve">Heavy rainfall events may occur more frequently in winter, spring, and autumn. Summer heavy rainfall events are projected to become more extreme </w:t>
            </w:r>
          </w:p>
        </w:tc>
        <w:tc>
          <w:tcPr>
            <w:tcW w:w="4768" w:type="dxa"/>
            <w:hideMark/>
          </w:tcPr>
          <w:p w14:paraId="3EACF87C" w14:textId="77777777" w:rsidR="00CE332F" w:rsidRPr="00F9391E" w:rsidRDefault="00CE332F" w:rsidP="00890CF7">
            <w:pPr>
              <w:pStyle w:val="TableText"/>
              <w:rPr>
                <w:lang w:val="en-US"/>
              </w:rPr>
            </w:pPr>
            <w:r w:rsidRPr="00F9391E">
              <w:rPr>
                <w:lang w:val="en-US"/>
              </w:rPr>
              <w:t>Medium/Low</w:t>
            </w:r>
          </w:p>
        </w:tc>
      </w:tr>
    </w:tbl>
    <w:p w14:paraId="218C9F9B" w14:textId="5CDCB789" w:rsidR="00CE332F" w:rsidRPr="00EA22CB" w:rsidRDefault="00CE332F" w:rsidP="00EA22CB">
      <w:pPr>
        <w:pStyle w:val="BodyText"/>
        <w:rPr>
          <w:b/>
          <w:bCs/>
          <w:i/>
          <w:iCs/>
        </w:rPr>
      </w:pPr>
      <w:r>
        <w:lastRenderedPageBreak/>
        <w:t>Edinburgh signed its climate emergency declaration in May of 2019, thereby committing itself to work towards net-zero emissions by 2030. Produced by the ESRC Place-Based Climate Action Network (PCAN), this net-zero roadmap is designed to inform how Edinburgh can work towards that ambitious target in the coming years.</w:t>
      </w:r>
    </w:p>
    <w:p w14:paraId="19C9B74F" w14:textId="3A1B38B7" w:rsidR="00CE332F" w:rsidRDefault="00CE332F" w:rsidP="00EA22CB">
      <w:pPr>
        <w:pStyle w:val="BodyText"/>
      </w:pPr>
      <w:r>
        <w:t xml:space="preserve">Analysis </w:t>
      </w:r>
      <w:r w:rsidR="00F211C4">
        <w:t>of the Net Zero Carbon Roadmap for Edinburgh shows that</w:t>
      </w:r>
      <w:r>
        <w:t xml:space="preserve"> emissions have fallen by 42% since 2000, due to a combination of increasingly decarbonised electricity supply, structural change in the economy, and the gradual adoption of more efficient buildings, vehicles and businesses</w:t>
      </w:r>
      <w:r w:rsidR="00F211C4">
        <w:rPr>
          <w:rStyle w:val="FootnoteReference"/>
          <w:b/>
          <w:bCs/>
          <w:i/>
          <w:iCs/>
        </w:rPr>
        <w:footnoteReference w:id="9"/>
      </w:r>
      <w:r>
        <w:t>. With full decarbonisation of UK electricity by 2045, and taking into account economic growth, population growth and on-going improvements in energy and fuel efficiency, it is projected that Edinburgh’s baseline emissions will only fall by a further 9% by 2030, 13% by 2037, and 15% by 2045.</w:t>
      </w:r>
      <w:r w:rsidR="00565F22">
        <w:t xml:space="preserve"> </w:t>
      </w:r>
      <w:r>
        <w:t xml:space="preserve">This is a total of just over 50% between 2000 and 2045 (see Figure </w:t>
      </w:r>
      <w:r w:rsidR="003336FD">
        <w:t>6</w:t>
      </w:r>
      <w:r>
        <w:t xml:space="preserve">). </w:t>
      </w:r>
      <w:r w:rsidR="00565F22">
        <w:t>Emission</w:t>
      </w:r>
      <w:r w:rsidR="002F4DDA">
        <w:t>s</w:t>
      </w:r>
      <w:r w:rsidR="00565F22">
        <w:t xml:space="preserve"> included here are </w:t>
      </w:r>
      <w:r w:rsidR="002F4DDA">
        <w:t>derived</w:t>
      </w:r>
      <w:r w:rsidR="00565F22">
        <w:t xml:space="preserve"> from fuel, landfill sites and industry within the area and emissions from electricity used within the area (even if it</w:t>
      </w:r>
      <w:r w:rsidR="002F4DDA">
        <w:t>’</w:t>
      </w:r>
      <w:r w:rsidR="00565F22">
        <w:t>s generated elsewhere).</w:t>
      </w:r>
    </w:p>
    <w:p w14:paraId="6F416504" w14:textId="77777777" w:rsidR="00073FB3" w:rsidRDefault="00073FB3" w:rsidP="00CE332F">
      <w:pPr>
        <w:pStyle w:val="BulletLevel2"/>
        <w:numPr>
          <w:ilvl w:val="0"/>
          <w:numId w:val="0"/>
        </w:numPr>
        <w:rPr>
          <w:noProof/>
        </w:rPr>
      </w:pPr>
    </w:p>
    <w:p w14:paraId="293385F2" w14:textId="7BFB3587" w:rsidR="00CE332F" w:rsidRDefault="00CE332F" w:rsidP="00B41050">
      <w:pPr>
        <w:pStyle w:val="BulletLevel2"/>
        <w:numPr>
          <w:ilvl w:val="0"/>
          <w:numId w:val="0"/>
        </w:numPr>
        <w:jc w:val="center"/>
      </w:pPr>
      <w:r>
        <w:rPr>
          <w:noProof/>
        </w:rPr>
        <w:drawing>
          <wp:inline distT="0" distB="0" distL="0" distR="0" wp14:anchorId="0B0C9055" wp14:editId="155AE877">
            <wp:extent cx="5078896" cy="3124200"/>
            <wp:effectExtent l="0" t="0" r="7620" b="0"/>
            <wp:docPr id="7" name="Picture 7" descr="A graph showing Edinburgh's Carbon Emissions (2000-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showing Edinburgh's Carbon Emissions (2000-2050)."/>
                    <pic:cNvPicPr/>
                  </pic:nvPicPr>
                  <pic:blipFill rotWithShape="1">
                    <a:blip r:embed="rId23">
                      <a:extLst>
                        <a:ext uri="{28A0092B-C50C-407E-A947-70E740481C1C}">
                          <a14:useLocalDpi xmlns:a14="http://schemas.microsoft.com/office/drawing/2010/main" val="0"/>
                        </a:ext>
                      </a:extLst>
                    </a:blip>
                    <a:srcRect l="1693"/>
                    <a:stretch/>
                  </pic:blipFill>
                  <pic:spPr bwMode="auto">
                    <a:xfrm>
                      <a:off x="0" y="0"/>
                      <a:ext cx="5079337" cy="3124471"/>
                    </a:xfrm>
                    <a:prstGeom prst="rect">
                      <a:avLst/>
                    </a:prstGeom>
                    <a:ln>
                      <a:noFill/>
                    </a:ln>
                    <a:extLst>
                      <a:ext uri="{53640926-AAD7-44D8-BBD7-CCE9431645EC}">
                        <a14:shadowObscured xmlns:a14="http://schemas.microsoft.com/office/drawing/2010/main"/>
                      </a:ext>
                    </a:extLst>
                  </pic:spPr>
                </pic:pic>
              </a:graphicData>
            </a:graphic>
          </wp:inline>
        </w:drawing>
      </w:r>
    </w:p>
    <w:p w14:paraId="106919E8" w14:textId="7A752601" w:rsidR="00CE332F" w:rsidRDefault="003336FD" w:rsidP="00890CF7">
      <w:pPr>
        <w:pStyle w:val="Figurecaption0"/>
        <w:spacing w:before="240"/>
        <w:ind w:left="0"/>
      </w:pPr>
      <w:r>
        <w:t>Figure 6: Edinburgh’s</w:t>
      </w:r>
      <w:r w:rsidR="00565F22">
        <w:t xml:space="preserve"> </w:t>
      </w:r>
      <w:r>
        <w:t>Carbon Emissions (2000-2050)</w:t>
      </w:r>
      <w:r w:rsidR="00283E64">
        <w:rPr>
          <w:rStyle w:val="FootnoteReference"/>
        </w:rPr>
        <w:footnoteReference w:id="10"/>
      </w:r>
    </w:p>
    <w:p w14:paraId="3B1E9DBF" w14:textId="70575E2B" w:rsidR="009C530E" w:rsidRDefault="00CE332F" w:rsidP="00EA22CB">
      <w:pPr>
        <w:pStyle w:val="BodyText"/>
      </w:pPr>
      <w:r>
        <w:t xml:space="preserve">Currently, 31% of Edinburgh’s emissions come from the transport sector, with housing responsible for 29% </w:t>
      </w:r>
      <w:r w:rsidR="002F4DDA">
        <w:t>o</w:t>
      </w:r>
      <w:r>
        <w:t>f emissions</w:t>
      </w:r>
      <w:r w:rsidR="002F4DDA">
        <w:t xml:space="preserve"> and</w:t>
      </w:r>
      <w:r>
        <w:t xml:space="preserve"> public and commercial building</w:t>
      </w:r>
      <w:r w:rsidR="002F4DDA">
        <w:t>s accounting</w:t>
      </w:r>
      <w:r>
        <w:t xml:space="preserve"> for 23% and industry 17%. At current rates of emissions output, Edinburgh is set to use its total carbon budget of 22.1 megatonnes over the period between the present and 2050 in just over a decade at some point during the winter of 2031. However, Edinburgh could stay within its carbon budget by reducing its emissions by c.8% year on year. </w:t>
      </w:r>
    </w:p>
    <w:p w14:paraId="7F63F99E" w14:textId="3C9BA999" w:rsidR="00CE332F" w:rsidRDefault="009C530E" w:rsidP="00EA22CB">
      <w:pPr>
        <w:pStyle w:val="BodyText"/>
      </w:pPr>
      <w:r>
        <w:t xml:space="preserve">There is opportunity across all sectors to introduce low carbon measures, including </w:t>
      </w:r>
      <w:r w:rsidR="002F4DDA">
        <w:t>an increase in</w:t>
      </w:r>
      <w:r>
        <w:t xml:space="preserve"> walking and cycling, enhanced public transport, electric and more fuel-efficient vehicles (transport) and better lighting, improved process efficiencies and a wide range of other energy efficiency measures (industry). </w:t>
      </w:r>
    </w:p>
    <w:p w14:paraId="60A922B7" w14:textId="5BCA89CD" w:rsidR="000328FC" w:rsidRDefault="000328FC" w:rsidP="008B56F2">
      <w:pPr>
        <w:pStyle w:val="TOCHeading"/>
      </w:pPr>
      <w:bookmarkStart w:id="6" w:name="_Toc99536675"/>
      <w:r>
        <w:t>Land and Soil</w:t>
      </w:r>
      <w:bookmarkEnd w:id="6"/>
    </w:p>
    <w:p w14:paraId="180E29F3" w14:textId="22FB3369" w:rsidR="005D1208" w:rsidRDefault="000328FC" w:rsidP="000328FC">
      <w:pPr>
        <w:pStyle w:val="BodyText"/>
        <w:rPr>
          <w:rFonts w:ascii="Arial" w:hAnsi="Arial" w:cs="Arial"/>
        </w:rPr>
      </w:pPr>
      <w:r>
        <w:lastRenderedPageBreak/>
        <w:t>The majority of farmland in the area is classified as prime agricultural land (Soil Survey of Scotland – Land Capability for Agriculture, Macaulay Institute for Soil Research</w:t>
      </w:r>
      <w:r>
        <w:rPr>
          <w:rStyle w:val="FootnoteReference"/>
        </w:rPr>
        <w:footnoteReference w:id="11"/>
      </w:r>
      <w:r>
        <w:t xml:space="preserve">) with the majority also within the Edinburgh Green Belt (see Figure </w:t>
      </w:r>
      <w:r w:rsidR="003336FD" w:rsidRPr="00B81B44">
        <w:t>7</w:t>
      </w:r>
      <w:r>
        <w:t>).</w:t>
      </w:r>
      <w:r>
        <w:rPr>
          <w:rFonts w:ascii="Arial" w:hAnsi="Arial" w:cs="Arial"/>
        </w:rPr>
        <w:t> </w:t>
      </w:r>
      <w:r>
        <w:t xml:space="preserve"> In addition, there is a limited amount of carbon-rich and peatland soil which can be found in the Pentland Hills which is a designated Special Landscape Area.</w:t>
      </w:r>
      <w:r>
        <w:rPr>
          <w:rFonts w:ascii="Arial" w:hAnsi="Arial" w:cs="Arial"/>
        </w:rPr>
        <w:t>  </w:t>
      </w:r>
    </w:p>
    <w:p w14:paraId="7F8EE349" w14:textId="031C6C21" w:rsidR="005D1208" w:rsidRDefault="005D1208" w:rsidP="00B41050">
      <w:pPr>
        <w:pStyle w:val="BodyText"/>
        <w:spacing w:before="120"/>
        <w:jc w:val="center"/>
      </w:pPr>
      <w:r>
        <w:rPr>
          <w:noProof/>
        </w:rPr>
        <w:drawing>
          <wp:anchor distT="0" distB="0" distL="114300" distR="114300" simplePos="0" relativeHeight="251677696" behindDoc="1" locked="0" layoutInCell="1" allowOverlap="1" wp14:anchorId="746CE1B0" wp14:editId="47B90910">
            <wp:simplePos x="0" y="0"/>
            <wp:positionH relativeFrom="margin">
              <wp:align>left</wp:align>
            </wp:positionH>
            <wp:positionV relativeFrom="paragraph">
              <wp:posOffset>110</wp:posOffset>
            </wp:positionV>
            <wp:extent cx="4762831" cy="3281798"/>
            <wp:effectExtent l="0" t="0" r="0" b="0"/>
            <wp:wrapTight wrapText="bothSides">
              <wp:wrapPolygon edited="0">
                <wp:start x="0" y="0"/>
                <wp:lineTo x="0" y="21441"/>
                <wp:lineTo x="21514" y="21441"/>
                <wp:lineTo x="21514" y="0"/>
                <wp:lineTo x="0" y="0"/>
              </wp:wrapPolygon>
            </wp:wrapTight>
            <wp:docPr id="12" name="Picture 12" descr="A map showing the prime agricultural land in Edinburgh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ap showing the prime agricultural land in Edinburgh in 2017."/>
                    <pic:cNvPicPr/>
                  </pic:nvPicPr>
                  <pic:blipFill>
                    <a:blip r:embed="rId24">
                      <a:extLst>
                        <a:ext uri="{28A0092B-C50C-407E-A947-70E740481C1C}">
                          <a14:useLocalDpi xmlns:a14="http://schemas.microsoft.com/office/drawing/2010/main" val="0"/>
                        </a:ext>
                      </a:extLst>
                    </a:blip>
                    <a:stretch>
                      <a:fillRect/>
                    </a:stretch>
                  </pic:blipFill>
                  <pic:spPr>
                    <a:xfrm>
                      <a:off x="0" y="0"/>
                      <a:ext cx="4762831" cy="3281798"/>
                    </a:xfrm>
                    <a:prstGeom prst="rect">
                      <a:avLst/>
                    </a:prstGeom>
                  </pic:spPr>
                </pic:pic>
              </a:graphicData>
            </a:graphic>
            <wp14:sizeRelH relativeFrom="page">
              <wp14:pctWidth>0</wp14:pctWidth>
            </wp14:sizeRelH>
            <wp14:sizeRelV relativeFrom="page">
              <wp14:pctHeight>0</wp14:pctHeight>
            </wp14:sizeRelV>
          </wp:anchor>
        </w:drawing>
      </w:r>
    </w:p>
    <w:p w14:paraId="62AEA916" w14:textId="77777777" w:rsidR="00EA22CB" w:rsidRDefault="00EA22CB" w:rsidP="00EA22CB">
      <w:pPr>
        <w:pStyle w:val="Figurecaption0"/>
        <w:ind w:left="0"/>
      </w:pPr>
    </w:p>
    <w:p w14:paraId="5FBF81E1" w14:textId="77777777" w:rsidR="00EA22CB" w:rsidRDefault="00EA22CB" w:rsidP="00EA22CB">
      <w:pPr>
        <w:pStyle w:val="Figurecaption0"/>
        <w:ind w:left="0"/>
      </w:pPr>
    </w:p>
    <w:p w14:paraId="343289AB" w14:textId="77777777" w:rsidR="00EA22CB" w:rsidRDefault="00EA22CB" w:rsidP="00EA22CB">
      <w:pPr>
        <w:pStyle w:val="Figurecaption0"/>
        <w:ind w:left="0"/>
      </w:pPr>
    </w:p>
    <w:p w14:paraId="312D86F2" w14:textId="77777777" w:rsidR="00EA22CB" w:rsidRDefault="00EA22CB" w:rsidP="00EA22CB">
      <w:pPr>
        <w:pStyle w:val="Figurecaption0"/>
        <w:ind w:left="0"/>
      </w:pPr>
    </w:p>
    <w:p w14:paraId="74D6CC81" w14:textId="77777777" w:rsidR="00EA22CB" w:rsidRDefault="00EA22CB" w:rsidP="00EA22CB">
      <w:pPr>
        <w:pStyle w:val="Figurecaption0"/>
        <w:ind w:left="0"/>
      </w:pPr>
    </w:p>
    <w:p w14:paraId="4589638D" w14:textId="77777777" w:rsidR="00EA22CB" w:rsidRDefault="00EA22CB" w:rsidP="00EA22CB">
      <w:pPr>
        <w:pStyle w:val="Figurecaption0"/>
        <w:ind w:left="0"/>
      </w:pPr>
    </w:p>
    <w:p w14:paraId="62CAC213" w14:textId="77777777" w:rsidR="00EA22CB" w:rsidRDefault="00EA22CB" w:rsidP="00EA22CB">
      <w:pPr>
        <w:pStyle w:val="Figurecaption0"/>
        <w:ind w:left="0"/>
      </w:pPr>
    </w:p>
    <w:p w14:paraId="450B82D1" w14:textId="77777777" w:rsidR="00EA22CB" w:rsidRDefault="00EA22CB" w:rsidP="00EA22CB">
      <w:pPr>
        <w:pStyle w:val="Figurecaption0"/>
        <w:ind w:left="0"/>
      </w:pPr>
    </w:p>
    <w:p w14:paraId="50CC2392" w14:textId="65A65CC5" w:rsidR="00EA22CB" w:rsidRDefault="003336FD" w:rsidP="00EA22CB">
      <w:pPr>
        <w:pStyle w:val="Figurecaption0"/>
        <w:spacing w:before="240"/>
        <w:ind w:left="0"/>
      </w:pPr>
      <w:r>
        <w:t>Figure 7: Prime Agricultural Land in Edinburgh in 2017 (City of Edinburgh Council, 2020)</w:t>
      </w:r>
      <w:r>
        <w:rPr>
          <w:rStyle w:val="FootnoteReference"/>
        </w:rPr>
        <w:footnoteReference w:id="12"/>
      </w:r>
    </w:p>
    <w:p w14:paraId="3CD086D8" w14:textId="5A872FB1" w:rsidR="005D1208" w:rsidRDefault="000328FC" w:rsidP="005D1208">
      <w:pPr>
        <w:pStyle w:val="BodyText"/>
      </w:pPr>
      <w:r>
        <w:t>Edinburgh has a relatively low incidence of vacant and derelict land compared with other central belt authorities.  High land values and pressures for development means that land tends to be re-used quickly.  However, there are significant areas of vacant and derelict sites in clusters, including Newbridge and parts of the waterfront (see Figure</w:t>
      </w:r>
      <w:r w:rsidR="003336FD">
        <w:t xml:space="preserve"> 8</w:t>
      </w:r>
      <w:r>
        <w:t>), although the total amount in Edinburgh has dropped</w:t>
      </w:r>
      <w:r w:rsidR="0042798F">
        <w:t xml:space="preserve"> by 20%</w:t>
      </w:r>
      <w:r>
        <w:t xml:space="preserve"> from 223ha in 2011 to 178ha in 2017.</w:t>
      </w:r>
    </w:p>
    <w:p w14:paraId="5B16120C" w14:textId="5972EA5D" w:rsidR="005D1208" w:rsidRPr="005D1208" w:rsidRDefault="005D1208" w:rsidP="005D1208">
      <w:pPr>
        <w:tabs>
          <w:tab w:val="left" w:pos="1092"/>
        </w:tabs>
      </w:pPr>
      <w:r>
        <w:tab/>
      </w:r>
    </w:p>
    <w:p w14:paraId="3832CD30" w14:textId="173D1CAB" w:rsidR="009978EB" w:rsidRDefault="009978EB">
      <w:pPr>
        <w:rPr>
          <w:rFonts w:asciiTheme="minorHAnsi" w:hAnsiTheme="minorHAnsi"/>
        </w:rPr>
      </w:pPr>
    </w:p>
    <w:p w14:paraId="691D48DF" w14:textId="2A4A425A" w:rsidR="005D1208" w:rsidRDefault="00CD04B7" w:rsidP="00B41050">
      <w:pPr>
        <w:pStyle w:val="Figurecaption0"/>
        <w:spacing w:before="120"/>
        <w:jc w:val="center"/>
      </w:pPr>
      <w:r>
        <w:rPr>
          <w:noProof/>
        </w:rPr>
        <w:lastRenderedPageBreak/>
        <w:drawing>
          <wp:inline distT="0" distB="0" distL="0" distR="0" wp14:anchorId="7DE04CA2" wp14:editId="609EF64A">
            <wp:extent cx="4054191" cy="5776461"/>
            <wp:effectExtent l="0" t="0" r="3810" b="0"/>
            <wp:docPr id="34" name="Picture 34" descr="An annotated map showing the vacant and derelict areas of Edinburgh, based off the Scottish Vacant and Derelict Land Survey for the City of Edinburgh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n annotated map showing the vacant and derelict areas of Edinburgh, based off the Scottish Vacant and Derelict Land Survey for the City of Edinburgh 2017."/>
                    <pic:cNvPicPr/>
                  </pic:nvPicPr>
                  <pic:blipFill>
                    <a:blip r:embed="rId25">
                      <a:extLst>
                        <a:ext uri="{28A0092B-C50C-407E-A947-70E740481C1C}">
                          <a14:useLocalDpi xmlns:a14="http://schemas.microsoft.com/office/drawing/2010/main" val="0"/>
                        </a:ext>
                      </a:extLst>
                    </a:blip>
                    <a:stretch>
                      <a:fillRect/>
                    </a:stretch>
                  </pic:blipFill>
                  <pic:spPr>
                    <a:xfrm>
                      <a:off x="0" y="0"/>
                      <a:ext cx="4054191" cy="5776461"/>
                    </a:xfrm>
                    <a:prstGeom prst="rect">
                      <a:avLst/>
                    </a:prstGeom>
                  </pic:spPr>
                </pic:pic>
              </a:graphicData>
            </a:graphic>
          </wp:inline>
        </w:drawing>
      </w:r>
    </w:p>
    <w:p w14:paraId="7F488A3A" w14:textId="30E21B4D" w:rsidR="003336FD" w:rsidRDefault="003336FD" w:rsidP="00EA22CB">
      <w:pPr>
        <w:pStyle w:val="Figurecaption0"/>
        <w:spacing w:before="240"/>
      </w:pPr>
      <w:r>
        <w:t>Figure 8: Vacant and Derelict, Scottish Vacant and Derelict Land Survey for the City of Edinburgh 201</w:t>
      </w:r>
      <w:r w:rsidR="00CD04B7">
        <w:t>7</w:t>
      </w:r>
      <w:r>
        <w:t>(City of Edinburgh Council, 201</w:t>
      </w:r>
      <w:r w:rsidR="00CD04B7">
        <w:t>7</w:t>
      </w:r>
      <w:r>
        <w:t>)</w:t>
      </w:r>
      <w:r>
        <w:rPr>
          <w:rStyle w:val="FootnoteReference"/>
        </w:rPr>
        <w:footnoteReference w:id="13"/>
      </w:r>
    </w:p>
    <w:p w14:paraId="0BA1BF1B" w14:textId="16F14C6E" w:rsidR="00CE332F" w:rsidRDefault="00CE332F" w:rsidP="005D1208">
      <w:pPr>
        <w:pStyle w:val="Figurecaption0"/>
        <w:spacing w:before="120"/>
      </w:pPr>
    </w:p>
    <w:p w14:paraId="420DD81A" w14:textId="2991BF00" w:rsidR="00CE332F" w:rsidRDefault="00CE332F" w:rsidP="005D1208">
      <w:pPr>
        <w:pStyle w:val="Figurecaption0"/>
        <w:spacing w:before="120"/>
      </w:pPr>
    </w:p>
    <w:p w14:paraId="5759363F" w14:textId="45679980" w:rsidR="00BB2E23" w:rsidRDefault="00BB2E23">
      <w:pPr>
        <w:rPr>
          <w:rFonts w:asciiTheme="minorHAnsi" w:hAnsiTheme="minorHAnsi"/>
        </w:rPr>
      </w:pPr>
      <w:r>
        <w:br w:type="page"/>
      </w:r>
    </w:p>
    <w:p w14:paraId="0D40DC57" w14:textId="34353FE2" w:rsidR="007F0155" w:rsidRDefault="007F0155" w:rsidP="008B56F2">
      <w:pPr>
        <w:pStyle w:val="TOCHeading"/>
      </w:pPr>
      <w:bookmarkStart w:id="7" w:name="_Toc99536676"/>
      <w:r>
        <w:lastRenderedPageBreak/>
        <w:t>Water</w:t>
      </w:r>
      <w:bookmarkEnd w:id="7"/>
    </w:p>
    <w:p w14:paraId="601E2473" w14:textId="2E058D30" w:rsidR="000328FC" w:rsidRDefault="000328FC" w:rsidP="000328FC">
      <w:pPr>
        <w:pStyle w:val="BodyText"/>
      </w:pPr>
      <w:r>
        <w:rPr>
          <w:b/>
        </w:rPr>
        <w:t>Areas of importance for flood management</w:t>
      </w:r>
      <w:r>
        <w:t>:</w:t>
      </w:r>
      <w:r w:rsidR="00AD5779" w:rsidRPr="00AD5779">
        <w:rPr>
          <w:rFonts w:ascii="Arial" w:hAnsi="Arial" w:cs="Arial"/>
        </w:rPr>
        <w:t xml:space="preserve"> </w:t>
      </w:r>
      <w:r w:rsidR="00AD5779">
        <w:rPr>
          <w:rFonts w:ascii="Arial" w:hAnsi="Arial" w:cs="Arial"/>
        </w:rPr>
        <w:t> </w:t>
      </w:r>
      <w:r w:rsidR="00AD5779">
        <w:t>These have been identified within the study area associated with specific water bodies. The potentially vulnerable areas in the Forth Estuary Local Plan District within the City of Edinburgh council are: Granton, Water of Leith catchment, Braid Burn catchment, Cramond Bridge, South Gyle, Broxburn and Bathgate, South Queensferry, Lasswade, Penicuik, Dalkieth and Musselburgh, Niddrie Burn/Burdiehouse Burn catchment and Musselburgh</w:t>
      </w:r>
      <w:r w:rsidR="00AD5779">
        <w:rPr>
          <w:rStyle w:val="FootnoteReference"/>
        </w:rPr>
        <w:footnoteReference w:id="14"/>
      </w:r>
      <w:r w:rsidR="00AD5779">
        <w:t>.</w:t>
      </w:r>
    </w:p>
    <w:p w14:paraId="7F6936BA" w14:textId="5368DA42" w:rsidR="000328FC" w:rsidRDefault="000328FC" w:rsidP="000328FC">
      <w:pPr>
        <w:pStyle w:val="BodyText"/>
      </w:pPr>
      <w:r>
        <w:rPr>
          <w:b/>
        </w:rPr>
        <w:t>Rivers</w:t>
      </w:r>
      <w:r>
        <w:t xml:space="preserve">: Edinburgh is drained by a number of relatively short rivers which generally flow from </w:t>
      </w:r>
      <w:r w:rsidR="00A45EDA">
        <w:t>southwest</w:t>
      </w:r>
      <w:r>
        <w:t xml:space="preserve"> to </w:t>
      </w:r>
      <w:r w:rsidR="000C78CC">
        <w:t>northeast</w:t>
      </w:r>
      <w:r>
        <w:t>, rising in and around the Pentland Hills and discharging into the Firth of Forth.</w:t>
      </w:r>
      <w:r>
        <w:rPr>
          <w:rFonts w:ascii="Arial" w:hAnsi="Arial" w:cs="Arial"/>
        </w:rPr>
        <w:t> </w:t>
      </w:r>
      <w:r>
        <w:t xml:space="preserve"> Principal among these is the Water of Leith, which flows through the heart of the city.</w:t>
      </w:r>
      <w:r>
        <w:rPr>
          <w:rFonts w:ascii="Arial" w:hAnsi="Arial" w:cs="Arial"/>
        </w:rPr>
        <w:t>   </w:t>
      </w:r>
      <w:r>
        <w:t xml:space="preserve"> </w:t>
      </w:r>
    </w:p>
    <w:p w14:paraId="2015B71D" w14:textId="77777777" w:rsidR="0030771E" w:rsidRDefault="000328FC" w:rsidP="000328FC">
      <w:pPr>
        <w:pStyle w:val="BodyText"/>
      </w:pPr>
      <w:r>
        <w:rPr>
          <w:b/>
        </w:rPr>
        <w:t>River, coastal and surface water flooding</w:t>
      </w:r>
      <w:r>
        <w:t>: The Water of Leith has been subject to intermittent flooding since people first settled in the area.  However, this has become more of an issue with the increasing number of people living in close proximity.  The Murrayfield, Roseburn and Gogarburn (around the airport) areas have a history of flooding and flood prevention schemes have been implemented to minimise the risk.  In addition, due to the extent of hard surfacing within the urban area, there is a significant risk of surface water flooding events.  SEPA has published a Flood Risk Management Strategy (FRMS) for the Forth Estuary.  The City of Edinburgh Council</w:t>
      </w:r>
      <w:r w:rsidR="000C5F5A">
        <w:t xml:space="preserve"> has</w:t>
      </w:r>
      <w:r>
        <w:t xml:space="preserve"> also produce</w:t>
      </w:r>
      <w:r w:rsidR="000C5F5A">
        <w:t>d</w:t>
      </w:r>
      <w:r>
        <w:t xml:space="preserve"> a Local Flood Risk Management Plan (LFRMP)</w:t>
      </w:r>
      <w:r>
        <w:rPr>
          <w:rStyle w:val="FootnoteReference"/>
        </w:rPr>
        <w:footnoteReference w:id="15"/>
      </w:r>
      <w:r>
        <w:t>, which was adopted in June 2016.  This identifies areas vulnerable to flooding and potential mitigation actions.  The LFRMP provides further information on the funding and timetable for delivering the actions identified in the strategy between 2016 and 2022.  The FRMS and LFRMP are planned to be updated every six years.  In addition, the Council will prepare surface water management plans following the completion of an Integrated Catchment Study in 2021. Due to project timescales, this information is not expected to be available prior to the plan being adopted. However, if the information does become available it will be incorporated into this SEA.</w:t>
      </w:r>
      <w:r w:rsidR="00634F64">
        <w:t xml:space="preserve"> </w:t>
      </w:r>
      <w:r w:rsidR="00C81B05">
        <w:t>Notably, u</w:t>
      </w:r>
      <w:r w:rsidR="00634F64">
        <w:t xml:space="preserve">pdates to the SEPA pluvial maps and coastal flood hazard maps are underway, with outputs anticipated to be available in the next 18 months. These maps, along with other updates being made to flood mapping in the Southeast of Scotland, will be taken into consideration as the climate change strategy evolves and develops. </w:t>
      </w:r>
    </w:p>
    <w:p w14:paraId="45D8E525" w14:textId="34D9BC33" w:rsidR="000328FC" w:rsidRDefault="000328FC" w:rsidP="000328FC">
      <w:pPr>
        <w:pStyle w:val="BodyText"/>
      </w:pPr>
      <w:r>
        <w:rPr>
          <w:b/>
        </w:rPr>
        <w:t>Water supply</w:t>
      </w:r>
      <w:r>
        <w:t xml:space="preserve">: Edinburgh’s water requirements are now supplied via a network of reservoirs in the Tweedsmuir, Moorfoot and Pentland Hills, some of which act as the main supply reservoirs and others act as holding or compensation reservoirs.  This infrastructure was the subject of a recent major investment programme. Although the availability of water reserves could become a greater issue in the future, as a result of climatic changes, it is the capacity of the treatment and distribution infrastructure which may impose a more immediate restriction on the amount and location of new development in the Edinburgh area.    </w:t>
      </w:r>
    </w:p>
    <w:p w14:paraId="168E844C" w14:textId="0526A8A6" w:rsidR="007F0155" w:rsidRDefault="000328FC" w:rsidP="00844B03">
      <w:pPr>
        <w:pStyle w:val="BodyText"/>
      </w:pPr>
      <w:r>
        <w:rPr>
          <w:b/>
        </w:rPr>
        <w:t>Water quality</w:t>
      </w:r>
      <w:r>
        <w:t xml:space="preserve">: </w:t>
      </w:r>
      <w:r w:rsidR="001B4041">
        <w:t xml:space="preserve">Overall the groundwater across the Edinburgh region is in good condition according to the SEPA database. The surface waters around the coast to the north of the city are in good condition, while the surface water quality to the east of the city </w:t>
      </w:r>
      <w:r w:rsidR="00AD5779">
        <w:t xml:space="preserve">at Leith Docks to Port Seton </w:t>
      </w:r>
      <w:r w:rsidR="001B4041">
        <w:t>is in poor condition</w:t>
      </w:r>
      <w:r w:rsidR="001B4041">
        <w:rPr>
          <w:rStyle w:val="FootnoteReference"/>
        </w:rPr>
        <w:footnoteReference w:id="16"/>
      </w:r>
      <w:r w:rsidR="001B4041">
        <w:t xml:space="preserve"> (SEPA, 2019).</w:t>
      </w:r>
    </w:p>
    <w:p w14:paraId="2C570CC8" w14:textId="77777777" w:rsidR="001B4041" w:rsidRDefault="001B4041" w:rsidP="001B4041">
      <w:pPr>
        <w:pStyle w:val="BodyText"/>
      </w:pPr>
      <w:r>
        <w:t>The City of Edinburgh Council have also set out their ‘Vision for Water Management in the City of Edinburgh’ (2021)</w:t>
      </w:r>
      <w:r>
        <w:rPr>
          <w:rStyle w:val="FootnoteReference"/>
        </w:rPr>
        <w:footnoteReference w:id="17"/>
      </w:r>
      <w:r>
        <w:t xml:space="preserve">. The vision describes how the City of Edinburgh Council will adapt to the challenges of climate change with respect to the management of water. In summary, the vision is </w:t>
      </w:r>
      <w:r w:rsidRPr="000C5F5A">
        <w:rPr>
          <w:i/>
          <w:iCs/>
        </w:rPr>
        <w:t xml:space="preserve">‘to develop a long-term and sustainable approach to river, coastal and storm water management across the city and its environs, </w:t>
      </w:r>
      <w:r w:rsidRPr="000C5F5A">
        <w:rPr>
          <w:i/>
          <w:iCs/>
        </w:rPr>
        <w:lastRenderedPageBreak/>
        <w:t>respecting our unique historic heritage. This will involve all stakeholders and address the flooding and water quality risks associated with our changing climate as a result of changes in rainfall and sea level rise.’</w:t>
      </w:r>
    </w:p>
    <w:p w14:paraId="6DD55627" w14:textId="4D5B5192" w:rsidR="001B4041" w:rsidRDefault="001B4041" w:rsidP="008B6F19">
      <w:pPr>
        <w:pStyle w:val="TOCHeading"/>
      </w:pPr>
      <w:r>
        <w:t>Landscape</w:t>
      </w:r>
    </w:p>
    <w:p w14:paraId="5A004123" w14:textId="3AC62395" w:rsidR="000328FC" w:rsidRDefault="000328FC" w:rsidP="000328FC">
      <w:pPr>
        <w:pStyle w:val="BodyText"/>
      </w:pPr>
      <w:r>
        <w:t>Edinburgh has numerous outstanding features within easy reach of the City Centre: Holyrood Park including Arthur’s seat and Salisbury Crags, the Braid Hills and Blackford Hill, Corstorphine Hill and the Pentland Hills.</w:t>
      </w:r>
      <w:r>
        <w:rPr>
          <w:rFonts w:ascii="Arial" w:hAnsi="Arial" w:cs="Arial"/>
        </w:rPr>
        <w:t> </w:t>
      </w:r>
      <w:r>
        <w:t xml:space="preserve"> These fall within the Green Belt and are also designated as Special Landscape Areas.</w:t>
      </w:r>
      <w:r>
        <w:rPr>
          <w:rFonts w:ascii="Arial" w:hAnsi="Arial" w:cs="Arial"/>
        </w:rPr>
        <w:t> </w:t>
      </w:r>
      <w:r>
        <w:t xml:space="preserve"> The Green Belt around Edinburgh was first established in 1957 and it has been an important tool in shaping the City’s growth and containment and supports regeneration.</w:t>
      </w:r>
      <w:r>
        <w:rPr>
          <w:rFonts w:ascii="Arial" w:hAnsi="Arial" w:cs="Arial"/>
        </w:rPr>
        <w:t> </w:t>
      </w:r>
      <w:r>
        <w:t xml:space="preserve"> The current Local Development Plan (LDP) released a significant amount of land from the Green Belt, primarily to meet housing land requirements in the first SDP, and to implement national planning policy </w:t>
      </w:r>
      <w:r w:rsidR="002A2992">
        <w:t>i</w:t>
      </w:r>
      <w:r>
        <w:t>n West Edinburgh.</w:t>
      </w:r>
      <w:r>
        <w:rPr>
          <w:rFonts w:ascii="Arial" w:hAnsi="Arial" w:cs="Arial"/>
        </w:rPr>
        <w:t> </w:t>
      </w:r>
      <w:r>
        <w:t xml:space="preserve"> </w:t>
      </w:r>
    </w:p>
    <w:p w14:paraId="56CFC8F6" w14:textId="5E4FCC2A" w:rsidR="000328FC" w:rsidRDefault="000328FC" w:rsidP="000328FC">
      <w:pPr>
        <w:pStyle w:val="BodyText"/>
      </w:pPr>
      <w:r>
        <w:t>Within the City Centre itself, Edinburgh has open spaces of world class value.</w:t>
      </w:r>
      <w:r>
        <w:rPr>
          <w:rFonts w:ascii="Arial" w:hAnsi="Arial" w:cs="Arial"/>
        </w:rPr>
        <w:t> </w:t>
      </w:r>
      <w:r>
        <w:t xml:space="preserve"> These include topographic and natural features that define the city, such as Arthur’s Seat, the Water of Leith and Braid Burn river valleys and the coastline.</w:t>
      </w:r>
      <w:r>
        <w:rPr>
          <w:rFonts w:ascii="Arial" w:hAnsi="Arial" w:cs="Arial"/>
        </w:rPr>
        <w:t> </w:t>
      </w:r>
      <w:r>
        <w:t xml:space="preserve"> In addition, there are large areas of open space which are important to the character of the city such as the Meadows</w:t>
      </w:r>
      <w:r w:rsidR="003336FD">
        <w:t>.</w:t>
      </w:r>
      <w:r>
        <w:rPr>
          <w:rFonts w:ascii="Arial" w:hAnsi="Arial" w:cs="Arial"/>
        </w:rPr>
        <w:t> </w:t>
      </w:r>
      <w:r>
        <w:t xml:space="preserve"> These are linked with footpaths, green corridors and watercourses (see Figure </w:t>
      </w:r>
      <w:r w:rsidR="003336FD">
        <w:t>9</w:t>
      </w:r>
      <w:r>
        <w:t xml:space="preserve">) to form a strong green infrastructure within the urban area (see Figure </w:t>
      </w:r>
      <w:r w:rsidR="00142EAC">
        <w:t>9</w:t>
      </w:r>
      <w:r>
        <w:t>).</w:t>
      </w:r>
    </w:p>
    <w:p w14:paraId="2E8997C4" w14:textId="15947E70" w:rsidR="00014982" w:rsidRDefault="00014982" w:rsidP="00B41050">
      <w:pPr>
        <w:pStyle w:val="Figurecaption0"/>
        <w:spacing w:before="120"/>
        <w:jc w:val="center"/>
      </w:pPr>
      <w:r>
        <w:rPr>
          <w:noProof/>
        </w:rPr>
        <w:drawing>
          <wp:anchor distT="0" distB="0" distL="114300" distR="114300" simplePos="0" relativeHeight="251678720" behindDoc="1" locked="0" layoutInCell="1" allowOverlap="1" wp14:anchorId="5704B1F7" wp14:editId="2FECB7AA">
            <wp:simplePos x="0" y="0"/>
            <wp:positionH relativeFrom="margin">
              <wp:align>left</wp:align>
            </wp:positionH>
            <wp:positionV relativeFrom="paragraph">
              <wp:posOffset>34925</wp:posOffset>
            </wp:positionV>
            <wp:extent cx="4939748" cy="3387816"/>
            <wp:effectExtent l="0" t="0" r="0" b="3175"/>
            <wp:wrapTight wrapText="bothSides">
              <wp:wrapPolygon edited="0">
                <wp:start x="0" y="0"/>
                <wp:lineTo x="0" y="21499"/>
                <wp:lineTo x="21492" y="21499"/>
                <wp:lineTo x="21492" y="0"/>
                <wp:lineTo x="0" y="0"/>
              </wp:wrapPolygon>
            </wp:wrapTight>
            <wp:docPr id="9" name="Picture 9" descr="A map showing Edinburgh's green network , part of the Open Space 2021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showing Edinburgh's green network , part of the Open Space 2021 Strategy"/>
                    <pic:cNvPicPr/>
                  </pic:nvPicPr>
                  <pic:blipFill>
                    <a:blip r:embed="rId26">
                      <a:extLst>
                        <a:ext uri="{28A0092B-C50C-407E-A947-70E740481C1C}">
                          <a14:useLocalDpi xmlns:a14="http://schemas.microsoft.com/office/drawing/2010/main" val="0"/>
                        </a:ext>
                      </a:extLst>
                    </a:blip>
                    <a:stretch>
                      <a:fillRect/>
                    </a:stretch>
                  </pic:blipFill>
                  <pic:spPr>
                    <a:xfrm>
                      <a:off x="0" y="0"/>
                      <a:ext cx="4939748" cy="3387816"/>
                    </a:xfrm>
                    <a:prstGeom prst="rect">
                      <a:avLst/>
                    </a:prstGeom>
                  </pic:spPr>
                </pic:pic>
              </a:graphicData>
            </a:graphic>
            <wp14:sizeRelH relativeFrom="page">
              <wp14:pctWidth>0</wp14:pctWidth>
            </wp14:sizeRelH>
            <wp14:sizeRelV relativeFrom="page">
              <wp14:pctHeight>0</wp14:pctHeight>
            </wp14:sizeRelV>
          </wp:anchor>
        </w:drawing>
      </w:r>
    </w:p>
    <w:p w14:paraId="1A9A39CE" w14:textId="77777777" w:rsidR="00EA22CB" w:rsidRDefault="00EA22CB" w:rsidP="00EA22CB">
      <w:pPr>
        <w:pStyle w:val="Figurecaption0"/>
        <w:ind w:left="0"/>
      </w:pPr>
    </w:p>
    <w:p w14:paraId="36FB62CA" w14:textId="77777777" w:rsidR="00EA22CB" w:rsidRDefault="00EA22CB" w:rsidP="00EA22CB">
      <w:pPr>
        <w:pStyle w:val="Figurecaption0"/>
        <w:ind w:left="0"/>
      </w:pPr>
    </w:p>
    <w:p w14:paraId="3E3F31F8" w14:textId="77777777" w:rsidR="00EA22CB" w:rsidRDefault="00EA22CB" w:rsidP="00EA22CB">
      <w:pPr>
        <w:pStyle w:val="Figurecaption0"/>
        <w:ind w:left="0"/>
      </w:pPr>
    </w:p>
    <w:p w14:paraId="7EEE6E9D" w14:textId="77777777" w:rsidR="00EA22CB" w:rsidRDefault="00EA22CB" w:rsidP="00EA22CB">
      <w:pPr>
        <w:pStyle w:val="Figurecaption0"/>
        <w:ind w:left="0"/>
      </w:pPr>
    </w:p>
    <w:p w14:paraId="24766E6E" w14:textId="77777777" w:rsidR="00EA22CB" w:rsidRDefault="00EA22CB" w:rsidP="00EA22CB">
      <w:pPr>
        <w:pStyle w:val="Figurecaption0"/>
        <w:ind w:left="0"/>
      </w:pPr>
    </w:p>
    <w:p w14:paraId="6C3D2759" w14:textId="77777777" w:rsidR="00EA22CB" w:rsidRDefault="00EA22CB" w:rsidP="00EA22CB">
      <w:pPr>
        <w:pStyle w:val="Figurecaption0"/>
        <w:ind w:left="0"/>
      </w:pPr>
    </w:p>
    <w:p w14:paraId="15510D06" w14:textId="77777777" w:rsidR="00EA22CB" w:rsidRDefault="00EA22CB" w:rsidP="00EA22CB">
      <w:pPr>
        <w:pStyle w:val="Figurecaption0"/>
        <w:ind w:left="0"/>
      </w:pPr>
    </w:p>
    <w:p w14:paraId="393CBD63" w14:textId="77777777" w:rsidR="00EA22CB" w:rsidRDefault="00EA22CB" w:rsidP="00EA22CB">
      <w:pPr>
        <w:pStyle w:val="Figurecaption0"/>
        <w:ind w:left="0"/>
      </w:pPr>
    </w:p>
    <w:p w14:paraId="552F976B" w14:textId="77777777" w:rsidR="00EA22CB" w:rsidRDefault="00EA22CB" w:rsidP="00EA22CB">
      <w:pPr>
        <w:pStyle w:val="Figurecaption0"/>
        <w:spacing w:before="120"/>
        <w:ind w:left="0"/>
      </w:pPr>
    </w:p>
    <w:p w14:paraId="53A527EA" w14:textId="36585A93" w:rsidR="003336FD" w:rsidRDefault="003336FD" w:rsidP="00EA22CB">
      <w:pPr>
        <w:pStyle w:val="Figurecaption0"/>
        <w:spacing w:before="120"/>
        <w:ind w:left="0"/>
      </w:pPr>
      <w:r>
        <w:t xml:space="preserve">Figure </w:t>
      </w:r>
      <w:r w:rsidR="00142EAC">
        <w:t>9</w:t>
      </w:r>
      <w:r>
        <w:t>: Edinburgh’s Green Network, part of the Open Space 2021 Strategy</w:t>
      </w:r>
      <w:r>
        <w:rPr>
          <w:rStyle w:val="FootnoteReference"/>
        </w:rPr>
        <w:footnoteReference w:id="18"/>
      </w:r>
    </w:p>
    <w:p w14:paraId="1729A16A" w14:textId="274ECCBA" w:rsidR="00E60A61" w:rsidRDefault="002317EC" w:rsidP="00E60A61">
      <w:pPr>
        <w:pStyle w:val="BodyText"/>
      </w:pPr>
      <w:r w:rsidRPr="002317EC">
        <w:t>The Open Space Strategy 2021</w:t>
      </w:r>
      <w:r>
        <w:t xml:space="preserve"> aims to improve and extend the city’s network of open space in order to improve quality of life, support economic vitality and build excellent places. The Strategy has a co-ordinating and interdependent role in terms of a number of Council plans and strategies, including those relating to parks and gardens, allotments, play, sports facilities, active travel, climate change adaptation, sustainability and biodiversity. It looks back at what has happened over the last </w:t>
      </w:r>
      <w:r w:rsidR="001953D7">
        <w:t xml:space="preserve">five </w:t>
      </w:r>
      <w:r>
        <w:t xml:space="preserve">years and looks forward at the priorities for Open Space into the 2020s, whilst sharing inspiring examples from across the Council Area. </w:t>
      </w:r>
      <w:r w:rsidRPr="002317EC">
        <w:t xml:space="preserve">Table </w:t>
      </w:r>
      <w:r w:rsidR="00692ECC">
        <w:t>A.2</w:t>
      </w:r>
      <w:r w:rsidRPr="002317EC">
        <w:t xml:space="preserve"> </w:t>
      </w:r>
      <w:r>
        <w:t>outlines</w:t>
      </w:r>
      <w:r w:rsidRPr="002317EC">
        <w:t xml:space="preserve"> some of the key </w:t>
      </w:r>
      <w:r>
        <w:t>considerations</w:t>
      </w:r>
      <w:r w:rsidRPr="002317EC">
        <w:t xml:space="preserve"> </w:t>
      </w:r>
      <w:r w:rsidR="003336FD">
        <w:t>from</w:t>
      </w:r>
      <w:r w:rsidRPr="002317EC">
        <w:t xml:space="preserve"> the strategy</w:t>
      </w:r>
      <w:r w:rsidR="003336FD">
        <w:t>.</w:t>
      </w:r>
    </w:p>
    <w:p w14:paraId="4A9CD104" w14:textId="2CF6A6B8" w:rsidR="002317EC" w:rsidRDefault="002317EC" w:rsidP="00EA22CB">
      <w:pPr>
        <w:pStyle w:val="Figurecaption0"/>
        <w:ind w:left="0"/>
      </w:pPr>
      <w:r>
        <w:lastRenderedPageBreak/>
        <w:t xml:space="preserve">Table </w:t>
      </w:r>
      <w:r w:rsidR="00692ECC">
        <w:t>A.2</w:t>
      </w:r>
      <w:r>
        <w:t>: Key considerations outlined in the Open Space Strategy 2021</w:t>
      </w:r>
    </w:p>
    <w:tbl>
      <w:tblPr>
        <w:tblStyle w:val="TableGrid"/>
        <w:tblW w:w="0" w:type="auto"/>
        <w:tblLook w:val="04A0" w:firstRow="1" w:lastRow="0" w:firstColumn="1" w:lastColumn="0" w:noHBand="0" w:noVBand="1"/>
      </w:tblPr>
      <w:tblGrid>
        <w:gridCol w:w="4768"/>
        <w:gridCol w:w="4768"/>
      </w:tblGrid>
      <w:tr w:rsidR="002317EC" w:rsidRPr="008F72AB" w14:paraId="4EA715B0" w14:textId="77777777" w:rsidTr="00533158">
        <w:trPr>
          <w:trHeight w:val="341"/>
        </w:trPr>
        <w:tc>
          <w:tcPr>
            <w:tcW w:w="4768" w:type="dxa"/>
            <w:shd w:val="clear" w:color="auto" w:fill="004595"/>
          </w:tcPr>
          <w:p w14:paraId="0BB37BB3" w14:textId="2A9FD416" w:rsidR="002317EC" w:rsidRPr="00890CF7" w:rsidRDefault="002317EC" w:rsidP="00890CF7">
            <w:pPr>
              <w:pStyle w:val="Tabletext0"/>
              <w:rPr>
                <w:b/>
                <w:bCs/>
              </w:rPr>
            </w:pPr>
            <w:r w:rsidRPr="00890CF7">
              <w:rPr>
                <w:b/>
                <w:bCs/>
              </w:rPr>
              <w:t>Benefits of Open Space in Edinburgh</w:t>
            </w:r>
          </w:p>
        </w:tc>
        <w:tc>
          <w:tcPr>
            <w:tcW w:w="4768" w:type="dxa"/>
            <w:shd w:val="clear" w:color="auto" w:fill="004595"/>
          </w:tcPr>
          <w:p w14:paraId="7F9D3FD7" w14:textId="123A20CD" w:rsidR="002317EC" w:rsidRPr="00890CF7" w:rsidRDefault="002317EC" w:rsidP="00890CF7">
            <w:pPr>
              <w:pStyle w:val="Tabletext0"/>
              <w:rPr>
                <w:b/>
                <w:bCs/>
              </w:rPr>
            </w:pPr>
            <w:r w:rsidRPr="00890CF7">
              <w:rPr>
                <w:b/>
                <w:bCs/>
              </w:rPr>
              <w:t xml:space="preserve">How is Open Space in Edinburgh Changing? </w:t>
            </w:r>
          </w:p>
        </w:tc>
      </w:tr>
      <w:tr w:rsidR="002317EC" w:rsidRPr="008F72AB" w14:paraId="2B87FD16" w14:textId="77777777" w:rsidTr="00533158">
        <w:tc>
          <w:tcPr>
            <w:tcW w:w="4768" w:type="dxa"/>
            <w:hideMark/>
          </w:tcPr>
          <w:p w14:paraId="7AF7E111" w14:textId="5009F4DB" w:rsidR="002317EC" w:rsidRPr="008F72AB" w:rsidRDefault="002317EC" w:rsidP="00890CF7">
            <w:pPr>
              <w:pStyle w:val="Tabletext0"/>
              <w:rPr>
                <w:lang w:val="en-US"/>
              </w:rPr>
            </w:pPr>
            <w:r w:rsidRPr="008F72AB">
              <w:t>82% of Edinburgh’s citizens are satisfied with parks and greenspaces compared to 76% nationally and around 71% of residents have taken part in 30 minutes physical activity each week</w:t>
            </w:r>
          </w:p>
        </w:tc>
        <w:tc>
          <w:tcPr>
            <w:tcW w:w="4768" w:type="dxa"/>
            <w:hideMark/>
          </w:tcPr>
          <w:p w14:paraId="12824B1B" w14:textId="769781C8" w:rsidR="002317EC" w:rsidRPr="008F72AB" w:rsidRDefault="002317EC" w:rsidP="00890CF7">
            <w:pPr>
              <w:pStyle w:val="Tabletext0"/>
              <w:rPr>
                <w:lang w:val="en-US"/>
              </w:rPr>
            </w:pPr>
            <w:r w:rsidRPr="008F72AB">
              <w:t>Comparisons between the 2010 Open Space Strategy and 1969 Open Space Plan found that open space had increased by some 200 hectares over the 40</w:t>
            </w:r>
            <w:r w:rsidR="002A2992">
              <w:t>-</w:t>
            </w:r>
            <w:r w:rsidRPr="008F72AB">
              <w:t>year period. In the last</w:t>
            </w:r>
            <w:r w:rsidR="001953D7" w:rsidRPr="008F72AB">
              <w:t xml:space="preserve"> five</w:t>
            </w:r>
            <w:r w:rsidRPr="008F72AB">
              <w:t xml:space="preserve"> years, there has been a less marked change in the overall quantity and composition of greenspace</w:t>
            </w:r>
          </w:p>
        </w:tc>
      </w:tr>
      <w:tr w:rsidR="002317EC" w:rsidRPr="008F72AB" w14:paraId="3BE437C8" w14:textId="77777777" w:rsidTr="00533158">
        <w:tc>
          <w:tcPr>
            <w:tcW w:w="4768" w:type="dxa"/>
            <w:hideMark/>
          </w:tcPr>
          <w:p w14:paraId="1B050A43" w14:textId="0963F1B0" w:rsidR="002317EC" w:rsidRPr="008F72AB" w:rsidRDefault="002317EC" w:rsidP="00890CF7">
            <w:pPr>
              <w:pStyle w:val="Tabletext0"/>
              <w:rPr>
                <w:lang w:val="en-US"/>
              </w:rPr>
            </w:pPr>
            <w:r w:rsidRPr="008F72AB">
              <w:t>Studies in Edinburgh and Dundee found that better availability of greenspace within deprived communities is associated with significantly lower levels of stress and improved mental wellbeing</w:t>
            </w:r>
          </w:p>
        </w:tc>
        <w:tc>
          <w:tcPr>
            <w:tcW w:w="4768" w:type="dxa"/>
            <w:hideMark/>
          </w:tcPr>
          <w:p w14:paraId="2B677AF1" w14:textId="62C87D5B" w:rsidR="002317EC" w:rsidRPr="008F72AB" w:rsidRDefault="002317EC" w:rsidP="00890CF7">
            <w:pPr>
              <w:pStyle w:val="Tabletext0"/>
              <w:rPr>
                <w:lang w:val="en-US"/>
              </w:rPr>
            </w:pPr>
            <w:r w:rsidRPr="008F72AB">
              <w:t xml:space="preserve">Across the types of open space quantified in the Open Space Audit (2016) there have been losses and gains since 2009. However, the overall amount of open space has remained relatively constant, with a net loss of under </w:t>
            </w:r>
            <w:r w:rsidR="002A2992">
              <w:t>two</w:t>
            </w:r>
            <w:r w:rsidR="002A2992" w:rsidRPr="008F72AB">
              <w:t xml:space="preserve"> </w:t>
            </w:r>
            <w:r w:rsidRPr="008F72AB">
              <w:t>hectares</w:t>
            </w:r>
          </w:p>
        </w:tc>
      </w:tr>
      <w:tr w:rsidR="002317EC" w:rsidRPr="008F72AB" w14:paraId="01572AE8" w14:textId="77777777" w:rsidTr="00533158">
        <w:tc>
          <w:tcPr>
            <w:tcW w:w="4768" w:type="dxa"/>
            <w:hideMark/>
          </w:tcPr>
          <w:p w14:paraId="3D3CD164" w14:textId="22988421" w:rsidR="002317EC" w:rsidRPr="008F72AB" w:rsidRDefault="002317EC" w:rsidP="00533158">
            <w:pPr>
              <w:pStyle w:val="Tabletext0"/>
              <w:rPr>
                <w:szCs w:val="20"/>
                <w:lang w:val="en-US"/>
              </w:rPr>
            </w:pPr>
            <w:r w:rsidRPr="008F72AB">
              <w:rPr>
                <w:szCs w:val="20"/>
              </w:rPr>
              <w:t>Edinburgh’s open space network includes an urban forest of almost 630,000 trees, which help to filter air pollution, intercept and soak up flood waters, slow global warming by storing carbon and provide natural cooling during warmer weather</w:t>
            </w:r>
          </w:p>
        </w:tc>
        <w:tc>
          <w:tcPr>
            <w:tcW w:w="4768" w:type="dxa"/>
            <w:hideMark/>
          </w:tcPr>
          <w:p w14:paraId="6139CC15" w14:textId="0E1184EF" w:rsidR="002317EC" w:rsidRPr="008F72AB" w:rsidRDefault="002317EC" w:rsidP="00533158">
            <w:pPr>
              <w:pStyle w:val="BodyText"/>
              <w:spacing w:before="120" w:after="120"/>
              <w:rPr>
                <w:lang w:val="en-US"/>
              </w:rPr>
            </w:pPr>
            <w:r w:rsidRPr="008F72AB">
              <w:t>Some spaces have changed type to reflect changes in management practices, such as designating Magdalene Glen as a Community Park or via the introduction of new outdoor sports facilities, allotments or community growing spaces</w:t>
            </w:r>
          </w:p>
        </w:tc>
      </w:tr>
      <w:tr w:rsidR="002317EC" w:rsidRPr="008F72AB" w14:paraId="55A71A37" w14:textId="77777777" w:rsidTr="00533158">
        <w:tc>
          <w:tcPr>
            <w:tcW w:w="4768" w:type="dxa"/>
            <w:hideMark/>
          </w:tcPr>
          <w:p w14:paraId="0815C1A1" w14:textId="1C9CF7B5" w:rsidR="002317EC" w:rsidRPr="008F72AB" w:rsidRDefault="002317EC" w:rsidP="00533158">
            <w:pPr>
              <w:pStyle w:val="Tabletext0"/>
              <w:rPr>
                <w:szCs w:val="20"/>
                <w:lang w:val="en-US"/>
              </w:rPr>
            </w:pPr>
            <w:r w:rsidRPr="008F72AB">
              <w:rPr>
                <w:szCs w:val="20"/>
              </w:rPr>
              <w:t>Greenspaces can provide above ground storage for flood waters, reducing the need for costly defences. Along the Braid Burn, flood storage has been formalised at Firhill High School, Inch Park and Edinburgh University Playing Fields</w:t>
            </w:r>
          </w:p>
        </w:tc>
        <w:tc>
          <w:tcPr>
            <w:tcW w:w="4768" w:type="dxa"/>
            <w:hideMark/>
          </w:tcPr>
          <w:p w14:paraId="45B1EB92" w14:textId="7A3BFFD4" w:rsidR="002317EC" w:rsidRPr="008F72AB" w:rsidRDefault="002317EC" w:rsidP="00533158">
            <w:pPr>
              <w:pStyle w:val="Tabletext0"/>
              <w:rPr>
                <w:szCs w:val="20"/>
                <w:lang w:val="en-US"/>
              </w:rPr>
            </w:pPr>
            <w:r w:rsidRPr="008F72AB">
              <w:rPr>
                <w:szCs w:val="20"/>
              </w:rPr>
              <w:t>Losses have tended to apply to bowling greens, playing fields, semi-natural greenspaces and residential amenity green space. In these cases, planning policy seeks to avoid losses which would impact on local character, recreational provision, biodiversity and green networks.</w:t>
            </w:r>
          </w:p>
        </w:tc>
      </w:tr>
    </w:tbl>
    <w:p w14:paraId="17DF7397" w14:textId="0FCA0C2C" w:rsidR="00BB2E23" w:rsidRDefault="002317EC" w:rsidP="00B81B44">
      <w:pPr>
        <w:pStyle w:val="BodyText"/>
      </w:pPr>
      <w:r>
        <w:t>Whilst methods of comparing open space provision in different cities vary, one study by Greenspace Scotland</w:t>
      </w:r>
      <w:r>
        <w:rPr>
          <w:rStyle w:val="FootnoteReference"/>
        </w:rPr>
        <w:footnoteReference w:id="19"/>
      </w:r>
      <w:r>
        <w:t xml:space="preserve"> found that Edinburgh had the highest proportion of public parks and gardens in Scotland, some 17% of all open space based on 2010 data. This compares with 13% in Glasgow and 8% across urban Scotland.</w:t>
      </w:r>
    </w:p>
    <w:p w14:paraId="62B3F326" w14:textId="5F88690C" w:rsidR="000328FC" w:rsidRDefault="000328FC" w:rsidP="008B56F2">
      <w:pPr>
        <w:pStyle w:val="TOCHeading"/>
      </w:pPr>
      <w:bookmarkStart w:id="8" w:name="_Toc99536678"/>
      <w:r>
        <w:t>Biodiversity, Flora and Fauna</w:t>
      </w:r>
      <w:bookmarkEnd w:id="8"/>
    </w:p>
    <w:p w14:paraId="3E02CD80" w14:textId="0AAE1A9B" w:rsidR="00F70F3D" w:rsidRDefault="00F70F3D" w:rsidP="00F70F3D">
      <w:pPr>
        <w:pStyle w:val="BodyText"/>
      </w:pPr>
      <w:r>
        <w:t>Edinburgh has a diverse range of valued areas, habitats and species</w:t>
      </w:r>
      <w:r w:rsidR="00ED2339">
        <w:t>,</w:t>
      </w:r>
      <w:r>
        <w:t xml:space="preserve"> including sites designated under the European Union’s Wild Birds Directive (</w:t>
      </w:r>
      <w:r w:rsidRPr="00770DAC">
        <w:t>Directive 79/409/EEC</w:t>
      </w:r>
      <w:r>
        <w:t>, as amended). These ‘European Sites’ comprise:</w:t>
      </w:r>
    </w:p>
    <w:p w14:paraId="0C927DD2" w14:textId="1E1F0075" w:rsidR="00F70F3D" w:rsidRDefault="00F70F3D" w:rsidP="00F70F3D">
      <w:pPr>
        <w:pStyle w:val="BodyText"/>
        <w:numPr>
          <w:ilvl w:val="0"/>
          <w:numId w:val="66"/>
        </w:numPr>
      </w:pPr>
      <w:r>
        <w:t xml:space="preserve">Firth of Forth </w:t>
      </w:r>
      <w:r w:rsidR="00ED2339" w:rsidRPr="00ED2339">
        <w:t xml:space="preserve">Special Protection Area </w:t>
      </w:r>
      <w:r w:rsidR="00ED2339">
        <w:t>(</w:t>
      </w:r>
      <w:r>
        <w:t>SPA</w:t>
      </w:r>
      <w:r w:rsidR="00ED2339">
        <w:t>)</w:t>
      </w:r>
    </w:p>
    <w:p w14:paraId="6AF19E5A" w14:textId="55D36C70" w:rsidR="00F70F3D" w:rsidRDefault="00F70F3D" w:rsidP="00F70F3D">
      <w:pPr>
        <w:pStyle w:val="BodyText"/>
        <w:numPr>
          <w:ilvl w:val="0"/>
          <w:numId w:val="66"/>
        </w:numPr>
      </w:pPr>
      <w:r w:rsidRPr="00F90DB8">
        <w:t>Outer Firth of Forth and St Andrews Bay Complex SPA</w:t>
      </w:r>
    </w:p>
    <w:p w14:paraId="5254E452" w14:textId="77777777" w:rsidR="00F70F3D" w:rsidRDefault="00F70F3D" w:rsidP="00F70F3D">
      <w:pPr>
        <w:pStyle w:val="BodyText"/>
        <w:numPr>
          <w:ilvl w:val="0"/>
          <w:numId w:val="66"/>
        </w:numPr>
      </w:pPr>
      <w:r>
        <w:t>Imperial Dock Lock SPA</w:t>
      </w:r>
    </w:p>
    <w:p w14:paraId="1DC800EC" w14:textId="77777777" w:rsidR="00F70F3D" w:rsidRDefault="00F70F3D" w:rsidP="00F70F3D">
      <w:pPr>
        <w:pStyle w:val="BodyText"/>
        <w:numPr>
          <w:ilvl w:val="0"/>
          <w:numId w:val="66"/>
        </w:numPr>
      </w:pPr>
      <w:r>
        <w:t>Forth Islands SPA</w:t>
      </w:r>
    </w:p>
    <w:p w14:paraId="1CD81D20" w14:textId="77777777" w:rsidR="00F70F3D" w:rsidRDefault="00F70F3D" w:rsidP="00F70F3D">
      <w:pPr>
        <w:pStyle w:val="BodyText"/>
      </w:pPr>
      <w:r>
        <w:t xml:space="preserve">The Firth of Forth is also a Ramsar site, which is an international designation for Wetlands of International Importance. At present, the Climate Strategy contains strategic policies rather than any site-specific policies, </w:t>
      </w:r>
      <w:r>
        <w:lastRenderedPageBreak/>
        <w:t>objectives or proposed interventions. As such, a screening under the Scottish Habitats Regulations, Conservation (Natural Habitats, &amp;c.) Regulations 1994, (the first stage of a Habitats Regulations Appraisal - HRA) will not be undertaken. However, as the Climate Strategy develops, if any aspects of it have a spatial context (for example, public transport corridors) that could influence a European Site, the need for an HRA will need to be revisited and discussed with NatureScot.</w:t>
      </w:r>
    </w:p>
    <w:p w14:paraId="37BC79B8" w14:textId="2D852B8B" w:rsidR="000328FC" w:rsidRDefault="000328FC" w:rsidP="000328FC">
      <w:pPr>
        <w:pStyle w:val="BodyText"/>
      </w:pPr>
      <w:r>
        <w:t>There are also seven nationally designated Sites of Special Scientific Interest (SSSIs) with</w:t>
      </w:r>
      <w:r w:rsidR="0047673A">
        <w:t>in</w:t>
      </w:r>
      <w:r>
        <w:t xml:space="preserve"> Edinburgh, covering a total area of 1,239 hectares and non-statutory designated sites. The non-statutory sites comprise 109 Local Nature Conservation Sites (including Local Biodiversity Sites and Local Geodiversity sites).</w:t>
      </w:r>
      <w:r>
        <w:rPr>
          <w:rFonts w:ascii="Arial" w:hAnsi="Arial" w:cs="Arial"/>
        </w:rPr>
        <w:t> </w:t>
      </w:r>
      <w:r>
        <w:t xml:space="preserve"> Table </w:t>
      </w:r>
      <w:r w:rsidR="00692ECC">
        <w:t>A.3</w:t>
      </w:r>
      <w:r>
        <w:t xml:space="preserve"> shows the various natural heritage designations in Edinburgh.</w:t>
      </w:r>
      <w:r>
        <w:rPr>
          <w:rFonts w:ascii="Arial" w:hAnsi="Arial" w:cs="Arial"/>
        </w:rPr>
        <w:t> </w:t>
      </w:r>
      <w:r>
        <w:t xml:space="preserve"> </w:t>
      </w:r>
    </w:p>
    <w:p w14:paraId="0A3B4B46" w14:textId="578C2F40" w:rsidR="0042798F" w:rsidRDefault="000328FC" w:rsidP="000328FC">
      <w:pPr>
        <w:pStyle w:val="BodyText"/>
      </w:pPr>
      <w:r>
        <w:t>Edinburgh has a Biodiversity Action Plan (EBAP 201</w:t>
      </w:r>
      <w:r w:rsidR="0042798F">
        <w:t>9</w:t>
      </w:r>
      <w:r>
        <w:t>-</w:t>
      </w:r>
      <w:r w:rsidR="0042798F">
        <w:t>21</w:t>
      </w:r>
      <w:r>
        <w:t xml:space="preserve">), </w:t>
      </w:r>
      <w:bookmarkStart w:id="9" w:name="_Hlk100911403"/>
      <w:r>
        <w:t xml:space="preserve">which </w:t>
      </w:r>
      <w:r w:rsidR="0042798F">
        <w:t>aims to: raise awareness of the rich biodiversity in Edinburgh; encourage Partners and other</w:t>
      </w:r>
      <w:r w:rsidR="00C56D50">
        <w:t>s</w:t>
      </w:r>
      <w:r w:rsidR="0042798F">
        <w:t xml:space="preserve"> to take positive action to protect and enhance our natural environment; promote co-ordination and communication between Partners and others to further conservation within Edinburgh; and influence other plans, policies and strategies relating to Edinburgh.  </w:t>
      </w:r>
      <w:r>
        <w:t xml:space="preserve"> </w:t>
      </w:r>
      <w:bookmarkEnd w:id="9"/>
    </w:p>
    <w:p w14:paraId="170D0C0A" w14:textId="71510B05" w:rsidR="000328FC" w:rsidRDefault="000328FC" w:rsidP="008F72AB">
      <w:pPr>
        <w:pStyle w:val="Figurecaption0"/>
        <w:ind w:left="0"/>
      </w:pPr>
      <w:r>
        <w:t xml:space="preserve">Table </w:t>
      </w:r>
      <w:r w:rsidR="00692ECC">
        <w:t>A.3</w:t>
      </w:r>
      <w:r>
        <w:t>: Natural Heritage Designations</w:t>
      </w:r>
    </w:p>
    <w:tbl>
      <w:tblPr>
        <w:tblStyle w:val="TableGrid"/>
        <w:tblW w:w="0" w:type="auto"/>
        <w:tblLook w:val="04A0" w:firstRow="1" w:lastRow="0" w:firstColumn="1" w:lastColumn="0" w:noHBand="0" w:noVBand="1"/>
      </w:tblPr>
      <w:tblGrid>
        <w:gridCol w:w="3823"/>
        <w:gridCol w:w="5713"/>
      </w:tblGrid>
      <w:tr w:rsidR="00D56218" w:rsidRPr="00653BC1" w14:paraId="23330AF8" w14:textId="77777777" w:rsidTr="00B81B44">
        <w:trPr>
          <w:trHeight w:val="341"/>
        </w:trPr>
        <w:tc>
          <w:tcPr>
            <w:tcW w:w="3823" w:type="dxa"/>
            <w:shd w:val="clear" w:color="auto" w:fill="004595"/>
          </w:tcPr>
          <w:p w14:paraId="28118040" w14:textId="4B601496" w:rsidR="00D56218" w:rsidRPr="00890CF7" w:rsidRDefault="00D56218" w:rsidP="00890CF7">
            <w:pPr>
              <w:pStyle w:val="TableText"/>
              <w:rPr>
                <w:b/>
                <w:bCs/>
              </w:rPr>
            </w:pPr>
            <w:r w:rsidRPr="00890CF7">
              <w:rPr>
                <w:b/>
                <w:bCs/>
              </w:rPr>
              <w:t>Designation</w:t>
            </w:r>
          </w:p>
        </w:tc>
        <w:tc>
          <w:tcPr>
            <w:tcW w:w="5713" w:type="dxa"/>
            <w:shd w:val="clear" w:color="auto" w:fill="004595"/>
          </w:tcPr>
          <w:p w14:paraId="4271CF85" w14:textId="4A736A46" w:rsidR="00D56218" w:rsidRPr="00890CF7" w:rsidRDefault="00D56218" w:rsidP="00890CF7">
            <w:pPr>
              <w:pStyle w:val="TableText"/>
              <w:rPr>
                <w:b/>
                <w:bCs/>
              </w:rPr>
            </w:pPr>
            <w:r w:rsidRPr="00890CF7">
              <w:rPr>
                <w:b/>
                <w:bCs/>
              </w:rPr>
              <w:t>Number of Sites</w:t>
            </w:r>
          </w:p>
        </w:tc>
      </w:tr>
      <w:tr w:rsidR="00D56218" w:rsidRPr="00653BC1" w14:paraId="74417E2A" w14:textId="77777777" w:rsidTr="00B81B44">
        <w:tc>
          <w:tcPr>
            <w:tcW w:w="3823" w:type="dxa"/>
            <w:hideMark/>
          </w:tcPr>
          <w:p w14:paraId="783883EA" w14:textId="7E01D144" w:rsidR="00D56218" w:rsidRPr="00B81B44" w:rsidRDefault="00D56218" w:rsidP="00890CF7">
            <w:pPr>
              <w:pStyle w:val="TableText"/>
            </w:pPr>
            <w:r w:rsidRPr="00B81B44">
              <w:t>SPA: Designated under the Wild Birds Directive for wild birds and their habitats</w:t>
            </w:r>
          </w:p>
        </w:tc>
        <w:tc>
          <w:tcPr>
            <w:tcW w:w="5713" w:type="dxa"/>
            <w:hideMark/>
          </w:tcPr>
          <w:p w14:paraId="2B298E36" w14:textId="6C315706" w:rsidR="00D56218" w:rsidRPr="00B81B44" w:rsidRDefault="00D56218" w:rsidP="00890CF7">
            <w:pPr>
              <w:pStyle w:val="TableText"/>
            </w:pPr>
            <w:r w:rsidRPr="00B81B44">
              <w:t>3 and 1 proposed (Firth of Forth SPA, Imperial Dock Lock (Leith) SPA, Forth Islands SPA, Outer Firth of Forth and St Andrews Bay Complex (pSPA))</w:t>
            </w:r>
          </w:p>
        </w:tc>
      </w:tr>
      <w:tr w:rsidR="00D56218" w:rsidRPr="00653BC1" w14:paraId="55C62F7C" w14:textId="77777777" w:rsidTr="00B81B44">
        <w:tc>
          <w:tcPr>
            <w:tcW w:w="3823" w:type="dxa"/>
            <w:hideMark/>
          </w:tcPr>
          <w:p w14:paraId="0F91F537" w14:textId="6376CEE0" w:rsidR="00D56218" w:rsidRPr="00B81B44" w:rsidRDefault="00D56218" w:rsidP="00890CF7">
            <w:pPr>
              <w:pStyle w:val="TableText"/>
            </w:pPr>
            <w:r w:rsidRPr="00B81B44">
              <w:t>Ramsar sites: designated under the Conversion of Wetlands of International Importance</w:t>
            </w:r>
          </w:p>
        </w:tc>
        <w:tc>
          <w:tcPr>
            <w:tcW w:w="5713" w:type="dxa"/>
            <w:hideMark/>
          </w:tcPr>
          <w:p w14:paraId="6D78FE71" w14:textId="6A2AC54D" w:rsidR="00D56218" w:rsidRPr="00B81B44" w:rsidRDefault="00D56218" w:rsidP="00890CF7">
            <w:pPr>
              <w:pStyle w:val="TableText"/>
            </w:pPr>
            <w:r w:rsidRPr="00B81B44">
              <w:t>1 (Within same boundary as Firth of Forth SPA)  </w:t>
            </w:r>
          </w:p>
        </w:tc>
      </w:tr>
      <w:tr w:rsidR="00D56218" w:rsidRPr="00653BC1" w14:paraId="2BD2C20A" w14:textId="77777777" w:rsidTr="00B81B44">
        <w:tc>
          <w:tcPr>
            <w:tcW w:w="3823" w:type="dxa"/>
            <w:hideMark/>
          </w:tcPr>
          <w:p w14:paraId="2F187A65" w14:textId="448EF94C" w:rsidR="00D56218" w:rsidRPr="00B81B44" w:rsidRDefault="00D56218" w:rsidP="00890CF7">
            <w:pPr>
              <w:pStyle w:val="TableText"/>
            </w:pPr>
            <w:r w:rsidRPr="00B81B44">
              <w:t>S</w:t>
            </w:r>
            <w:r w:rsidR="001953D7">
              <w:t>S</w:t>
            </w:r>
            <w:r w:rsidRPr="00B81B44">
              <w:t>SI</w:t>
            </w:r>
            <w:r w:rsidR="001953D7">
              <w:t>s</w:t>
            </w:r>
          </w:p>
        </w:tc>
        <w:tc>
          <w:tcPr>
            <w:tcW w:w="5713" w:type="dxa"/>
            <w:hideMark/>
          </w:tcPr>
          <w:p w14:paraId="65C1B839" w14:textId="09AD07D9" w:rsidR="00D56218" w:rsidRPr="00B81B44" w:rsidRDefault="00D56218" w:rsidP="00890CF7">
            <w:pPr>
              <w:pStyle w:val="TableText"/>
            </w:pPr>
            <w:r w:rsidRPr="00B81B44">
              <w:t>7 (Agassiz Rock, Arthurs Seat</w:t>
            </w:r>
            <w:r w:rsidR="001953D7">
              <w:t xml:space="preserve"> </w:t>
            </w:r>
            <w:r w:rsidRPr="00B81B44">
              <w:t>Volcano, Balerno Common, Duddingston Loch, Firth of Forth, Inchmickery, Wester Craiglockhart Hill)  </w:t>
            </w:r>
          </w:p>
          <w:p w14:paraId="591C4011" w14:textId="01993699" w:rsidR="00D56218" w:rsidRPr="00B81B44" w:rsidRDefault="00D56218" w:rsidP="00890CF7">
            <w:pPr>
              <w:pStyle w:val="TableText"/>
            </w:pPr>
          </w:p>
        </w:tc>
      </w:tr>
      <w:tr w:rsidR="00D56218" w:rsidRPr="00653BC1" w14:paraId="19C6C584" w14:textId="77777777" w:rsidTr="00B81B44">
        <w:tc>
          <w:tcPr>
            <w:tcW w:w="3823" w:type="dxa"/>
            <w:hideMark/>
          </w:tcPr>
          <w:p w14:paraId="4F6AC8C2" w14:textId="5225ABE5" w:rsidR="00D56218" w:rsidRPr="00B81B44" w:rsidRDefault="00D56218" w:rsidP="00890CF7">
            <w:pPr>
              <w:pStyle w:val="TableText"/>
            </w:pPr>
            <w:r w:rsidRPr="00B81B44">
              <w:t>Local Nature Reserves</w:t>
            </w:r>
          </w:p>
        </w:tc>
        <w:tc>
          <w:tcPr>
            <w:tcW w:w="5713" w:type="dxa"/>
            <w:hideMark/>
          </w:tcPr>
          <w:p w14:paraId="42C149FA" w14:textId="77777777" w:rsidR="00D56218" w:rsidRPr="00B81B44" w:rsidRDefault="00D56218" w:rsidP="00890CF7">
            <w:pPr>
              <w:pStyle w:val="TableText"/>
            </w:pPr>
            <w:r w:rsidRPr="00B81B44">
              <w:t>8 (Burdiehouse Burn Valley Park, Cammo Estate,  </w:t>
            </w:r>
          </w:p>
          <w:p w14:paraId="0C3FDEE1" w14:textId="77777777" w:rsidR="00D56218" w:rsidRPr="00B81B44" w:rsidRDefault="00D56218" w:rsidP="00890CF7">
            <w:pPr>
              <w:pStyle w:val="TableText"/>
            </w:pPr>
            <w:r w:rsidRPr="00B81B44">
              <w:t>Corstorphine Hill, Easter Craiglockhart Hill,  </w:t>
            </w:r>
          </w:p>
          <w:p w14:paraId="4EA48D1F" w14:textId="2AF3DB3B" w:rsidR="00D56218" w:rsidRPr="00B81B44" w:rsidRDefault="00D56218" w:rsidP="00890CF7">
            <w:pPr>
              <w:pStyle w:val="TableText"/>
            </w:pPr>
            <w:r w:rsidRPr="00B81B44">
              <w:t>Hermitage of Bra</w:t>
            </w:r>
            <w:r w:rsidR="000B3BEF">
              <w:t>i</w:t>
            </w:r>
            <w:r w:rsidRPr="00B81B44">
              <w:t>d &amp; Blackford Hill, Meadows Yard, Ravelston Woods  </w:t>
            </w:r>
          </w:p>
        </w:tc>
      </w:tr>
      <w:tr w:rsidR="00D56218" w:rsidRPr="00653BC1" w14:paraId="5AAD3867" w14:textId="77777777" w:rsidTr="00B81B44">
        <w:tc>
          <w:tcPr>
            <w:tcW w:w="3823" w:type="dxa"/>
            <w:hideMark/>
          </w:tcPr>
          <w:p w14:paraId="799417F7" w14:textId="4B1F0CFF" w:rsidR="00D56218" w:rsidRPr="00B81B44" w:rsidRDefault="00D56218" w:rsidP="00890CF7">
            <w:pPr>
              <w:pStyle w:val="TableText"/>
            </w:pPr>
            <w:r w:rsidRPr="00B81B44">
              <w:t>Local Nature Conservation Sites</w:t>
            </w:r>
          </w:p>
        </w:tc>
        <w:tc>
          <w:tcPr>
            <w:tcW w:w="5713" w:type="dxa"/>
            <w:hideMark/>
          </w:tcPr>
          <w:p w14:paraId="30EE936F" w14:textId="77777777" w:rsidR="00D56218" w:rsidRPr="00B81B44" w:rsidRDefault="00D56218" w:rsidP="00890CF7">
            <w:pPr>
              <w:pStyle w:val="TableText"/>
            </w:pPr>
            <w:r w:rsidRPr="00B81B44">
              <w:t>109   </w:t>
            </w:r>
          </w:p>
          <w:p w14:paraId="4B9AE770" w14:textId="77777777" w:rsidR="00D56218" w:rsidRPr="00B81B44" w:rsidRDefault="00D56218" w:rsidP="00890CF7">
            <w:pPr>
              <w:pStyle w:val="TableText"/>
            </w:pPr>
            <w:r w:rsidRPr="00B81B44">
              <w:t>Local Biodiversity sites (LBS) 71  </w:t>
            </w:r>
          </w:p>
          <w:p w14:paraId="416855B8" w14:textId="10AD8390" w:rsidR="00D56218" w:rsidRPr="00B81B44" w:rsidRDefault="00D56218" w:rsidP="00890CF7">
            <w:pPr>
              <w:pStyle w:val="TableText"/>
            </w:pPr>
            <w:r w:rsidRPr="00B81B44">
              <w:t>Local Geodiversity sites (LGS) 30  </w:t>
            </w:r>
          </w:p>
        </w:tc>
      </w:tr>
    </w:tbl>
    <w:p w14:paraId="3C48B57F" w14:textId="6AAAE690" w:rsidR="00BB2E23" w:rsidRDefault="00BB2E23">
      <w:pPr>
        <w:rPr>
          <w:rFonts w:eastAsiaTheme="majorEastAsia" w:cstheme="majorBidi"/>
          <w:b/>
          <w:sz w:val="26"/>
          <w:szCs w:val="24"/>
          <w:highlight w:val="lightGray"/>
        </w:rPr>
      </w:pPr>
    </w:p>
    <w:p w14:paraId="04C9D184" w14:textId="2FD93EBD" w:rsidR="000328FC" w:rsidRDefault="000328FC" w:rsidP="008B56F2">
      <w:pPr>
        <w:pStyle w:val="TOCHeading"/>
      </w:pPr>
      <w:bookmarkStart w:id="10" w:name="_Toc99536679"/>
      <w:r w:rsidRPr="00BB2E23">
        <w:t>Material</w:t>
      </w:r>
      <w:r>
        <w:t xml:space="preserve"> Assets</w:t>
      </w:r>
      <w:bookmarkEnd w:id="10"/>
    </w:p>
    <w:p w14:paraId="3961537B" w14:textId="5BD75298" w:rsidR="000328FC" w:rsidRDefault="000328FC" w:rsidP="000328FC">
      <w:pPr>
        <w:pStyle w:val="BodyText"/>
      </w:pPr>
      <w:r>
        <w:rPr>
          <w:b/>
        </w:rPr>
        <w:t>Public Transport Infrastructure</w:t>
      </w:r>
      <w:r>
        <w:t>: Generally, Edinburgh is well served by public transport, with an extensive bus and rail network and a developing tram and park and ride network.  However, with a growing population, there is increasing pressure on public transport services.  Many people travel to work by car, causing traffic congestion and significant pressure on parking spaces.  There are several emerging transport schemes which will help improve existing public transport infrastructure, including the new tram service and additional park and ride sites.  The Edinburgh Tram project is the largest infrastructure proposal to improve the city’s overall transport networks and to date connects the Airport to the city centre</w:t>
      </w:r>
      <w:r w:rsidR="000B3BEF">
        <w:t>,</w:t>
      </w:r>
      <w:r w:rsidR="00FE26D5">
        <w:t xml:space="preserve"> with further development underway towards</w:t>
      </w:r>
      <w:r>
        <w:t xml:space="preserve"> Leith and Newhaven.  </w:t>
      </w:r>
    </w:p>
    <w:p w14:paraId="0EABCD9A" w14:textId="744DF7D7" w:rsidR="001C2739" w:rsidRDefault="000328FC" w:rsidP="005D5731">
      <w:pPr>
        <w:pStyle w:val="BodyText"/>
        <w:rPr>
          <w:rFonts w:ascii="Arial" w:hAnsi="Arial" w:cs="Arial"/>
        </w:rPr>
      </w:pPr>
      <w:r>
        <w:rPr>
          <w:b/>
        </w:rPr>
        <w:lastRenderedPageBreak/>
        <w:t>Rights of Way</w:t>
      </w:r>
      <w:r>
        <w:t>:</w:t>
      </w:r>
      <w:r>
        <w:rPr>
          <w:rFonts w:ascii="Arial" w:hAnsi="Arial" w:cs="Arial"/>
        </w:rPr>
        <w:t> </w:t>
      </w:r>
      <w:r>
        <w:t>Edinburgh has an extensive network of off-road footpaths and cycle paths laid out over the past two decades, utilising abandoned railway alignments or following the banks of the city’s water courses.</w:t>
      </w:r>
      <w:r>
        <w:rPr>
          <w:rFonts w:ascii="Arial" w:hAnsi="Arial" w:cs="Arial"/>
        </w:rPr>
        <w:t> </w:t>
      </w:r>
      <w:r>
        <w:t xml:space="preserve"> The area is traversed by a series of core paths that form the Core Path Network across the city.</w:t>
      </w:r>
      <w:r>
        <w:rPr>
          <w:rFonts w:ascii="Arial" w:hAnsi="Arial" w:cs="Arial"/>
        </w:rPr>
        <w:t>  </w:t>
      </w:r>
    </w:p>
    <w:p w14:paraId="0770AEA7" w14:textId="77777777" w:rsidR="00F70F3D" w:rsidRPr="00890CF7" w:rsidRDefault="00F70F3D" w:rsidP="00F70F3D">
      <w:pPr>
        <w:pStyle w:val="BodyText"/>
        <w:rPr>
          <w:b/>
          <w:bCs/>
        </w:rPr>
      </w:pPr>
      <w:r>
        <w:rPr>
          <w:b/>
          <w:bCs/>
        </w:rPr>
        <w:t>Key transport</w:t>
      </w:r>
      <w:r w:rsidRPr="00890CF7">
        <w:rPr>
          <w:b/>
          <w:bCs/>
        </w:rPr>
        <w:t xml:space="preserve"> infrastructure: </w:t>
      </w:r>
    </w:p>
    <w:p w14:paraId="08E901AE" w14:textId="77777777" w:rsidR="00F70F3D" w:rsidRDefault="00F70F3D" w:rsidP="00F70F3D">
      <w:pPr>
        <w:pStyle w:val="BodyText"/>
        <w:spacing w:before="120" w:after="120"/>
        <w:rPr>
          <w:rFonts w:cs="Jacobs Chronos"/>
          <w:color w:val="333333"/>
          <w:shd w:val="clear" w:color="auto" w:fill="FFFFFF"/>
        </w:rPr>
      </w:pPr>
      <w:r>
        <w:rPr>
          <w:rFonts w:cs="Jacobs Chronos"/>
          <w:color w:val="333333"/>
          <w:shd w:val="clear" w:color="auto" w:fill="FFFFFF"/>
        </w:rPr>
        <w:t>Key</w:t>
      </w:r>
      <w:r w:rsidRPr="00B91CF0">
        <w:rPr>
          <w:rFonts w:cs="Jacobs Chronos"/>
          <w:color w:val="333333"/>
          <w:shd w:val="clear" w:color="auto" w:fill="FFFFFF"/>
        </w:rPr>
        <w:t xml:space="preserve"> infrastructure </w:t>
      </w:r>
      <w:r>
        <w:rPr>
          <w:rFonts w:cs="Jacobs Chronos"/>
          <w:color w:val="333333"/>
          <w:shd w:val="clear" w:color="auto" w:fill="FFFFFF"/>
        </w:rPr>
        <w:t>can be</w:t>
      </w:r>
      <w:r w:rsidRPr="00B91CF0">
        <w:rPr>
          <w:rFonts w:cs="Jacobs Chronos"/>
          <w:color w:val="333333"/>
          <w:shd w:val="clear" w:color="auto" w:fill="FFFFFF"/>
        </w:rPr>
        <w:t xml:space="preserve"> defined as infrastructure which is regarded as important in a local geographic area and supports the delivery of essential services at a local level. In Edinburgh, </w:t>
      </w:r>
      <w:r>
        <w:rPr>
          <w:rFonts w:cs="Jacobs Chronos"/>
          <w:color w:val="333333"/>
          <w:shd w:val="clear" w:color="auto" w:fill="FFFFFF"/>
        </w:rPr>
        <w:t>key</w:t>
      </w:r>
      <w:r w:rsidRPr="00B91CF0">
        <w:rPr>
          <w:rFonts w:cs="Jacobs Chronos"/>
          <w:color w:val="333333"/>
          <w:shd w:val="clear" w:color="auto" w:fill="FFFFFF"/>
        </w:rPr>
        <w:t xml:space="preserve"> infrastructure includes: </w:t>
      </w:r>
    </w:p>
    <w:p w14:paraId="6DF22ED9" w14:textId="77777777" w:rsidR="00F70F3D" w:rsidRDefault="00F70F3D" w:rsidP="00F70F3D">
      <w:pPr>
        <w:pStyle w:val="BodyText"/>
        <w:numPr>
          <w:ilvl w:val="0"/>
          <w:numId w:val="56"/>
        </w:numPr>
        <w:spacing w:before="120" w:after="120"/>
        <w:rPr>
          <w:rFonts w:cs="Jacobs Chronos"/>
          <w:color w:val="333333"/>
          <w:shd w:val="clear" w:color="auto" w:fill="FFFFFF"/>
        </w:rPr>
      </w:pPr>
      <w:r w:rsidRPr="00B91CF0">
        <w:rPr>
          <w:rFonts w:cs="Jacobs Chronos"/>
          <w:color w:val="333333"/>
          <w:shd w:val="clear" w:color="auto" w:fill="FFFFFF"/>
        </w:rPr>
        <w:t xml:space="preserve">The Queensferry Crossing </w:t>
      </w:r>
    </w:p>
    <w:p w14:paraId="7EFC3556" w14:textId="77777777" w:rsidR="00F70F3D" w:rsidRDefault="00F70F3D" w:rsidP="00F70F3D">
      <w:pPr>
        <w:pStyle w:val="BodyText"/>
        <w:numPr>
          <w:ilvl w:val="0"/>
          <w:numId w:val="56"/>
        </w:numPr>
        <w:spacing w:before="120" w:after="120"/>
        <w:rPr>
          <w:rFonts w:cs="Jacobs Chronos"/>
          <w:color w:val="333333"/>
          <w:shd w:val="clear" w:color="auto" w:fill="FFFFFF"/>
        </w:rPr>
      </w:pPr>
      <w:r>
        <w:rPr>
          <w:rFonts w:cs="Jacobs Chronos"/>
          <w:color w:val="333333"/>
          <w:shd w:val="clear" w:color="auto" w:fill="FFFFFF"/>
        </w:rPr>
        <w:t>Forth Road Bridge and Forth Rail Bridge</w:t>
      </w:r>
    </w:p>
    <w:p w14:paraId="2C9723D9" w14:textId="77777777" w:rsidR="00F70F3D" w:rsidRPr="00557600" w:rsidRDefault="00F70F3D" w:rsidP="00F70F3D">
      <w:pPr>
        <w:pStyle w:val="BodyText"/>
        <w:numPr>
          <w:ilvl w:val="0"/>
          <w:numId w:val="56"/>
        </w:numPr>
        <w:spacing w:before="120" w:after="120"/>
        <w:rPr>
          <w:rFonts w:cs="Jacobs Chronos"/>
          <w:color w:val="333333"/>
          <w:shd w:val="clear" w:color="auto" w:fill="FFFFFF"/>
        </w:rPr>
      </w:pPr>
      <w:r>
        <w:rPr>
          <w:rFonts w:cs="Jacobs Chronos"/>
          <w:color w:val="333333"/>
          <w:shd w:val="clear" w:color="auto" w:fill="FFFFFF"/>
        </w:rPr>
        <w:t>Edinburgh City Bypass</w:t>
      </w:r>
    </w:p>
    <w:p w14:paraId="3D46FC32" w14:textId="77777777" w:rsidR="00F70F3D" w:rsidRPr="00B91CF0" w:rsidRDefault="00F70F3D" w:rsidP="00F70F3D">
      <w:pPr>
        <w:pStyle w:val="BodyText"/>
        <w:numPr>
          <w:ilvl w:val="0"/>
          <w:numId w:val="56"/>
        </w:numPr>
        <w:spacing w:before="120" w:after="120"/>
        <w:rPr>
          <w:rFonts w:cs="Jacobs Chronos"/>
          <w:color w:val="333333"/>
          <w:shd w:val="clear" w:color="auto" w:fill="FFFFFF"/>
        </w:rPr>
      </w:pPr>
      <w:r w:rsidRPr="00557600">
        <w:rPr>
          <w:rFonts w:cs="Jacobs Chronos"/>
          <w:color w:val="333333"/>
          <w:shd w:val="clear" w:color="auto" w:fill="FFFFFF"/>
        </w:rPr>
        <w:t xml:space="preserve">Edinburgh Waverley and Haymarket </w:t>
      </w:r>
      <w:r>
        <w:rPr>
          <w:rFonts w:cs="Jacobs Chronos"/>
          <w:color w:val="333333"/>
          <w:shd w:val="clear" w:color="auto" w:fill="FFFFFF"/>
        </w:rPr>
        <w:t>T</w:t>
      </w:r>
      <w:r w:rsidRPr="00B91CF0">
        <w:rPr>
          <w:rFonts w:cs="Jacobs Chronos"/>
          <w:color w:val="333333"/>
          <w:shd w:val="clear" w:color="auto" w:fill="FFFFFF"/>
        </w:rPr>
        <w:t xml:space="preserve">rain </w:t>
      </w:r>
      <w:r>
        <w:rPr>
          <w:rFonts w:cs="Jacobs Chronos"/>
          <w:color w:val="333333"/>
          <w:shd w:val="clear" w:color="auto" w:fill="FFFFFF"/>
        </w:rPr>
        <w:t>S</w:t>
      </w:r>
      <w:r w:rsidRPr="00B91CF0">
        <w:rPr>
          <w:rFonts w:cs="Jacobs Chronos"/>
          <w:color w:val="333333"/>
          <w:shd w:val="clear" w:color="auto" w:fill="FFFFFF"/>
        </w:rPr>
        <w:t>tations</w:t>
      </w:r>
    </w:p>
    <w:p w14:paraId="6745E520" w14:textId="77777777" w:rsidR="00F70F3D" w:rsidRDefault="00F70F3D" w:rsidP="00F70F3D">
      <w:pPr>
        <w:pStyle w:val="BodyText"/>
        <w:numPr>
          <w:ilvl w:val="0"/>
          <w:numId w:val="56"/>
        </w:numPr>
        <w:spacing w:before="120" w:after="120"/>
        <w:rPr>
          <w:rFonts w:cs="Jacobs Chronos"/>
          <w:color w:val="333333"/>
          <w:shd w:val="clear" w:color="auto" w:fill="FFFFFF"/>
        </w:rPr>
      </w:pPr>
      <w:r w:rsidRPr="00B91CF0">
        <w:rPr>
          <w:rFonts w:cs="Jacobs Chronos"/>
          <w:color w:val="333333"/>
          <w:shd w:val="clear" w:color="auto" w:fill="FFFFFF"/>
        </w:rPr>
        <w:t>Edinburgh Bus Station</w:t>
      </w:r>
    </w:p>
    <w:p w14:paraId="7F73EA17" w14:textId="77777777" w:rsidR="00F70F3D" w:rsidRDefault="00F70F3D" w:rsidP="00F70F3D">
      <w:pPr>
        <w:pStyle w:val="BodyText"/>
        <w:numPr>
          <w:ilvl w:val="0"/>
          <w:numId w:val="56"/>
        </w:numPr>
        <w:spacing w:before="120" w:after="120"/>
        <w:rPr>
          <w:rFonts w:cs="Jacobs Chronos"/>
          <w:color w:val="333333"/>
          <w:shd w:val="clear" w:color="auto" w:fill="FFFFFF"/>
        </w:rPr>
      </w:pPr>
      <w:r>
        <w:rPr>
          <w:rFonts w:cs="Jacobs Chronos"/>
          <w:color w:val="333333"/>
          <w:shd w:val="clear" w:color="auto" w:fill="FFFFFF"/>
        </w:rPr>
        <w:t>Lothian Bus and Tram Routes</w:t>
      </w:r>
      <w:r>
        <w:rPr>
          <w:rStyle w:val="FootnoteReference"/>
          <w:rFonts w:cs="Jacobs Chronos"/>
          <w:color w:val="333333"/>
          <w:shd w:val="clear" w:color="auto" w:fill="FFFFFF"/>
        </w:rPr>
        <w:footnoteReference w:id="20"/>
      </w:r>
    </w:p>
    <w:p w14:paraId="1CE88305" w14:textId="77777777" w:rsidR="00F70F3D" w:rsidRPr="00B91CF0" w:rsidRDefault="00F70F3D" w:rsidP="00F70F3D">
      <w:pPr>
        <w:pStyle w:val="BodyText"/>
        <w:numPr>
          <w:ilvl w:val="0"/>
          <w:numId w:val="56"/>
        </w:numPr>
        <w:spacing w:before="120" w:after="120"/>
        <w:rPr>
          <w:rFonts w:cs="Jacobs Chronos"/>
          <w:color w:val="333333"/>
          <w:shd w:val="clear" w:color="auto" w:fill="FFFFFF"/>
        </w:rPr>
      </w:pPr>
      <w:r>
        <w:rPr>
          <w:rFonts w:cs="Jacobs Chronos"/>
          <w:color w:val="333333"/>
          <w:shd w:val="clear" w:color="auto" w:fill="FFFFFF"/>
        </w:rPr>
        <w:t>Cycling and Walking Routes</w:t>
      </w:r>
      <w:r>
        <w:rPr>
          <w:rStyle w:val="FootnoteReference"/>
          <w:rFonts w:cs="Jacobs Chronos"/>
          <w:color w:val="333333"/>
          <w:shd w:val="clear" w:color="auto" w:fill="FFFFFF"/>
        </w:rPr>
        <w:footnoteReference w:id="21"/>
      </w:r>
      <w:r w:rsidRPr="00B91CF0">
        <w:rPr>
          <w:rFonts w:cs="Jacobs Chronos"/>
          <w:color w:val="333333"/>
          <w:shd w:val="clear" w:color="auto" w:fill="FFFFFF"/>
        </w:rPr>
        <w:t>Forth Ports Leith</w:t>
      </w:r>
    </w:p>
    <w:p w14:paraId="1EF72AAA" w14:textId="77777777" w:rsidR="00F70F3D" w:rsidRPr="00DE7CFF" w:rsidRDefault="00F70F3D" w:rsidP="00F70F3D">
      <w:pPr>
        <w:pStyle w:val="BodyText"/>
        <w:spacing w:before="0"/>
        <w:rPr>
          <w:b/>
          <w:bCs/>
        </w:rPr>
      </w:pPr>
      <w:r w:rsidRPr="00DE7CFF">
        <w:rPr>
          <w:b/>
          <w:bCs/>
        </w:rPr>
        <w:t xml:space="preserve">Natural Assets: </w:t>
      </w:r>
    </w:p>
    <w:p w14:paraId="0B2C790D" w14:textId="77777777" w:rsidR="00F70F3D" w:rsidRPr="00B91CF0" w:rsidRDefault="00F70F3D" w:rsidP="00F70F3D">
      <w:pPr>
        <w:pStyle w:val="BodyText"/>
        <w:spacing w:before="240"/>
        <w:rPr>
          <w:rFonts w:cs="Jacobs Chronos"/>
        </w:rPr>
      </w:pPr>
      <w:r w:rsidRPr="00B91CF0">
        <w:rPr>
          <w:rFonts w:cs="Jacobs Chronos"/>
        </w:rPr>
        <w:t>SEPA (2016)</w:t>
      </w:r>
      <w:r w:rsidRPr="00B91CF0">
        <w:rPr>
          <w:rStyle w:val="FootnoteReference"/>
          <w:rFonts w:cs="Jacobs Chronos"/>
        </w:rPr>
        <w:footnoteReference w:id="22"/>
      </w:r>
      <w:r w:rsidRPr="00B91CF0">
        <w:rPr>
          <w:rFonts w:cs="Jacobs Chronos"/>
        </w:rPr>
        <w:t xml:space="preserve"> guidance on material assets in SEA’s outline</w:t>
      </w:r>
      <w:r>
        <w:rPr>
          <w:rFonts w:cs="Jacobs Chronos"/>
        </w:rPr>
        <w:t>s</w:t>
      </w:r>
      <w:r w:rsidRPr="00B91CF0">
        <w:rPr>
          <w:rFonts w:cs="Jacobs Chronos"/>
        </w:rPr>
        <w:t xml:space="preserve"> that natural assets are assets of the natural environment that consists of minerals (such as sand, gravel, rock, and slate), watercourses (supporting natural drainage and flood prevention processes), natural flood management processes, forestry and woodlands, agricultural land and associated elements such as field boundaries (e.g. hedges, stone walls). </w:t>
      </w:r>
    </w:p>
    <w:p w14:paraId="442CB187" w14:textId="77777777" w:rsidR="00F70F3D" w:rsidRPr="00B91CF0" w:rsidRDefault="00F70F3D" w:rsidP="00F70F3D">
      <w:pPr>
        <w:pStyle w:val="BodyText"/>
        <w:spacing w:before="240"/>
        <w:rPr>
          <w:rFonts w:cs="Jacobs Chronos"/>
        </w:rPr>
      </w:pPr>
      <w:r w:rsidRPr="00B91CF0">
        <w:rPr>
          <w:rFonts w:cs="Jacobs Chronos"/>
        </w:rPr>
        <w:t>With reference to the other environmental topics</w:t>
      </w:r>
      <w:r>
        <w:rPr>
          <w:rFonts w:cs="Jacobs Chronos"/>
        </w:rPr>
        <w:t xml:space="preserve"> outlined in this SEA</w:t>
      </w:r>
      <w:r w:rsidRPr="00B91CF0">
        <w:rPr>
          <w:rFonts w:cs="Jacobs Chronos"/>
        </w:rPr>
        <w:t xml:space="preserve">, natural assets in Edinburgh include: </w:t>
      </w:r>
    </w:p>
    <w:p w14:paraId="01A35EAA" w14:textId="77777777" w:rsidR="00F70F3D" w:rsidRPr="006F0B9E" w:rsidRDefault="00F70F3D" w:rsidP="00F70F3D">
      <w:pPr>
        <w:pStyle w:val="BodyText"/>
        <w:spacing w:before="240" w:after="120"/>
        <w:rPr>
          <w:rFonts w:cs="Jacobs Chronos"/>
        </w:rPr>
      </w:pPr>
      <w:r w:rsidRPr="0047673A">
        <w:rPr>
          <w:rFonts w:cs="Jacobs Chronos"/>
          <w:b/>
          <w:bCs/>
        </w:rPr>
        <w:t>Soil</w:t>
      </w:r>
      <w:r w:rsidRPr="0047673A">
        <w:rPr>
          <w:rFonts w:cs="Jacobs Chronos"/>
        </w:rPr>
        <w:t xml:space="preserve"> - Farmland located in prime agricultural land (Soi</w:t>
      </w:r>
      <w:r w:rsidRPr="006F0B9E">
        <w:rPr>
          <w:rFonts w:cs="Jacobs Chronos"/>
        </w:rPr>
        <w:t>l Survey</w:t>
      </w:r>
      <w:r w:rsidRPr="00A43DCE">
        <w:rPr>
          <w:rFonts w:cs="Jacobs Chronos"/>
        </w:rPr>
        <w:t xml:space="preserve"> of Scotland </w:t>
      </w:r>
      <w:r w:rsidRPr="00557600">
        <w:rPr>
          <w:rFonts w:cs="Jacobs Chronos"/>
        </w:rPr>
        <w:t xml:space="preserve">– Land </w:t>
      </w:r>
      <w:r w:rsidRPr="007C7E10">
        <w:rPr>
          <w:rFonts w:cs="Jacobs Chronos"/>
        </w:rPr>
        <w:t>Capability for Agriculture, Macaul</w:t>
      </w:r>
      <w:r w:rsidRPr="00132114">
        <w:rPr>
          <w:rFonts w:cs="Jacobs Chronos"/>
        </w:rPr>
        <w:t>ay Institute for Soil Research</w:t>
      </w:r>
      <w:r w:rsidRPr="0047673A">
        <w:rPr>
          <w:rStyle w:val="FootnoteReference"/>
          <w:rFonts w:cs="Jacobs Chronos"/>
        </w:rPr>
        <w:footnoteReference w:id="23"/>
      </w:r>
      <w:r w:rsidRPr="0047673A">
        <w:rPr>
          <w:rFonts w:cs="Jacobs Chronos"/>
        </w:rPr>
        <w:t xml:space="preserve">). Limited amount of carbon-rich and peatland soil, found in the Pentland Hills which is a designated Special Landscape Area. </w:t>
      </w:r>
    </w:p>
    <w:p w14:paraId="73735255" w14:textId="77777777" w:rsidR="00F70F3D" w:rsidRPr="00B91CF0" w:rsidRDefault="00F70F3D" w:rsidP="00F70F3D">
      <w:pPr>
        <w:pStyle w:val="BodyText"/>
        <w:spacing w:before="240" w:after="120"/>
        <w:rPr>
          <w:rFonts w:cs="Jacobs Chronos"/>
        </w:rPr>
      </w:pPr>
      <w:r w:rsidRPr="00132114">
        <w:rPr>
          <w:rFonts w:cs="Jacobs Chronos"/>
          <w:b/>
          <w:bCs/>
        </w:rPr>
        <w:t>Water</w:t>
      </w:r>
      <w:r w:rsidRPr="00132114">
        <w:rPr>
          <w:rFonts w:cs="Jacobs Chronos"/>
        </w:rPr>
        <w:t xml:space="preserve"> - Areas of importance for flood management include </w:t>
      </w:r>
      <w:r>
        <w:rPr>
          <w:rFonts w:cs="Jacobs Chronos"/>
        </w:rPr>
        <w:t xml:space="preserve">the </w:t>
      </w:r>
      <w:r w:rsidRPr="0047673A">
        <w:rPr>
          <w:rFonts w:cs="Jacobs Chronos"/>
        </w:rPr>
        <w:t>Water of Leith</w:t>
      </w:r>
      <w:r>
        <w:rPr>
          <w:rFonts w:cs="Jacobs Chronos"/>
        </w:rPr>
        <w:t xml:space="preserve"> and Forth Estuary</w:t>
      </w:r>
      <w:r w:rsidRPr="0047673A">
        <w:rPr>
          <w:rFonts w:cs="Jacobs Chronos"/>
        </w:rPr>
        <w:t>. The Water of Leith has been subject to intermittent flooding since people first settled in Edinburgh. The Murrayfield, R</w:t>
      </w:r>
      <w:r w:rsidRPr="00132114">
        <w:rPr>
          <w:rFonts w:cs="Jacobs Chronos"/>
        </w:rPr>
        <w:t>oseburn and Gogarburn areas have a history of flooding. There are a number of short rivers in Edinburgh, rising in and around the Pentland Hills and discharging into the Firth and Forth.</w:t>
      </w:r>
    </w:p>
    <w:p w14:paraId="2A2A7806" w14:textId="77777777" w:rsidR="00F70F3D" w:rsidRPr="00B91CF0" w:rsidRDefault="00F70F3D" w:rsidP="00F70F3D">
      <w:pPr>
        <w:pStyle w:val="BodyText"/>
        <w:spacing w:before="240" w:after="120"/>
        <w:rPr>
          <w:rFonts w:cs="Jacobs Chronos"/>
        </w:rPr>
      </w:pPr>
      <w:r w:rsidRPr="00B91CF0">
        <w:rPr>
          <w:rFonts w:cs="Jacobs Chronos"/>
          <w:b/>
          <w:bCs/>
        </w:rPr>
        <w:t>Biodiversity</w:t>
      </w:r>
      <w:r w:rsidRPr="0047673A">
        <w:rPr>
          <w:rFonts w:cs="Jacobs Chronos"/>
        </w:rPr>
        <w:t xml:space="preserve"> - Edinburgh has three Special Protection Areas and one proposed Special Protection Area. The Firth of </w:t>
      </w:r>
      <w:r w:rsidRPr="00132114">
        <w:rPr>
          <w:rFonts w:cs="Jacobs Chronos"/>
        </w:rPr>
        <w:t>Forth is a Ramsar site which is an international designation for Wetlands of International Importance. There are also seven nationally designated Sites of Special Scientific Interest within Edinburgh</w:t>
      </w:r>
      <w:r w:rsidRPr="00B91CF0">
        <w:rPr>
          <w:rFonts w:cs="Jacobs Chronos"/>
        </w:rPr>
        <w:t xml:space="preserve">, eight Local Nature Reserves and 109 Local Nature Conservation Sites. </w:t>
      </w:r>
    </w:p>
    <w:p w14:paraId="7FB12E7D" w14:textId="77777777" w:rsidR="0047673A" w:rsidRPr="00B91CF0" w:rsidRDefault="0047673A">
      <w:pPr>
        <w:rPr>
          <w:rFonts w:ascii="Jacobs Chronos" w:hAnsi="Jacobs Chronos" w:cs="Jacobs Chronos"/>
          <w:b/>
          <w:bCs/>
        </w:rPr>
      </w:pPr>
      <w:r w:rsidRPr="00B91CF0">
        <w:rPr>
          <w:rFonts w:ascii="Jacobs Chronos" w:hAnsi="Jacobs Chronos" w:cs="Jacobs Chronos"/>
          <w:b/>
          <w:bCs/>
        </w:rPr>
        <w:br w:type="page"/>
      </w:r>
    </w:p>
    <w:p w14:paraId="35B7E9C0" w14:textId="06A0B7CE" w:rsidR="000328FC" w:rsidRDefault="000328FC" w:rsidP="008B56F2">
      <w:pPr>
        <w:pStyle w:val="TOCHeading"/>
      </w:pPr>
      <w:bookmarkStart w:id="11" w:name="_Toc99536680"/>
      <w:r>
        <w:lastRenderedPageBreak/>
        <w:t>Population and Human Health</w:t>
      </w:r>
      <w:bookmarkEnd w:id="11"/>
    </w:p>
    <w:p w14:paraId="0D439AE1" w14:textId="27F41330" w:rsidR="000328FC" w:rsidRDefault="00FE26D5" w:rsidP="000328FC">
      <w:pPr>
        <w:pStyle w:val="BodyText"/>
      </w:pPr>
      <w:r>
        <w:t>Figure 1</w:t>
      </w:r>
      <w:r w:rsidR="00142EAC">
        <w:t>0</w:t>
      </w:r>
      <w:r>
        <w:t xml:space="preserve"> shows the</w:t>
      </w:r>
      <w:r w:rsidR="000328FC">
        <w:t xml:space="preserve"> total resident population of Edinburgh </w:t>
      </w:r>
      <w:r>
        <w:t xml:space="preserve">was </w:t>
      </w:r>
      <w:r w:rsidRPr="00FE26D5">
        <w:t>527</w:t>
      </w:r>
      <w:r>
        <w:t xml:space="preserve">, </w:t>
      </w:r>
      <w:r w:rsidRPr="00FE26D5">
        <w:t>620</w:t>
      </w:r>
      <w:r w:rsidRPr="00FE26D5" w:rsidDel="00FE26D5">
        <w:t xml:space="preserve"> </w:t>
      </w:r>
      <w:r>
        <w:t>at the 2020 mid-year estimate</w:t>
      </w:r>
      <w:r w:rsidR="000328FC">
        <w:t xml:space="preserve"> and covers an area of 26,373 hectares</w:t>
      </w:r>
      <w:r>
        <w:t xml:space="preserve"> (National Records Scotland, 2022)</w:t>
      </w:r>
      <w:r>
        <w:rPr>
          <w:rStyle w:val="FootnoteReference"/>
        </w:rPr>
        <w:footnoteReference w:id="24"/>
      </w:r>
      <w:r w:rsidR="000328FC">
        <w:t>. The age structure of Edinburgh’s population differs significantly from the national average, with fewer children and older people and more young adults.   The population of the City of Edinburgh is projected to increase by 15% (or 75,965 people) between 2016 and 2041</w:t>
      </w:r>
      <w:r w:rsidR="000328FC">
        <w:rPr>
          <w:rStyle w:val="FootnoteReference"/>
        </w:rPr>
        <w:footnoteReference w:id="25"/>
      </w:r>
      <w:r w:rsidR="00653BC1">
        <w:t xml:space="preserve"> (see Figure </w:t>
      </w:r>
      <w:r w:rsidR="003336FD" w:rsidRPr="00B81B44">
        <w:t>1</w:t>
      </w:r>
      <w:r w:rsidR="00142EAC">
        <w:t>1</w:t>
      </w:r>
      <w:r w:rsidR="00653BC1">
        <w:t xml:space="preserve">). </w:t>
      </w:r>
    </w:p>
    <w:p w14:paraId="210BEED2" w14:textId="10A21E3E" w:rsidR="008F72AB" w:rsidRDefault="00431025" w:rsidP="008F72AB">
      <w:pPr>
        <w:pStyle w:val="Figurecaption0"/>
        <w:ind w:left="0"/>
      </w:pPr>
      <w:r>
        <w:rPr>
          <w:noProof/>
        </w:rPr>
        <mc:AlternateContent>
          <mc:Choice Requires="wps">
            <w:drawing>
              <wp:anchor distT="0" distB="0" distL="114300" distR="114300" simplePos="0" relativeHeight="251679744" behindDoc="0" locked="0" layoutInCell="1" allowOverlap="1" wp14:anchorId="3AC0C354" wp14:editId="36406C84">
                <wp:simplePos x="0" y="0"/>
                <wp:positionH relativeFrom="margin">
                  <wp:posOffset>36469</wp:posOffset>
                </wp:positionH>
                <wp:positionV relativeFrom="paragraph">
                  <wp:posOffset>-78226</wp:posOffset>
                </wp:positionV>
                <wp:extent cx="4829175" cy="27717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4829175" cy="2771775"/>
                        </a:xfrm>
                        <a:prstGeom prst="rect">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B19BE" id="Rectangle 2" o:spid="_x0000_s1026" style="position:absolute;margin-left:2.85pt;margin-top:-6.15pt;width:380.25pt;height:218.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" filled="f" strokecolor="#dedede [1945]" strokeweight="1pt">
                <w10:wrap anchorx="margin"/>
              </v:rect>
            </w:pict>
          </mc:Fallback>
        </mc:AlternateContent>
      </w:r>
      <w:r w:rsidR="008F72AB">
        <w:rPr>
          <w:noProof/>
        </w:rPr>
        <w:drawing>
          <wp:anchor distT="0" distB="0" distL="114300" distR="114300" simplePos="0" relativeHeight="251680768" behindDoc="1" locked="0" layoutInCell="1" allowOverlap="1" wp14:anchorId="48C2F1A4" wp14:editId="56DD294B">
            <wp:simplePos x="0" y="0"/>
            <wp:positionH relativeFrom="margin">
              <wp:posOffset>201930</wp:posOffset>
            </wp:positionH>
            <wp:positionV relativeFrom="paragraph">
              <wp:posOffset>66675</wp:posOffset>
            </wp:positionV>
            <wp:extent cx="4611370" cy="2561590"/>
            <wp:effectExtent l="0" t="0" r="0" b="0"/>
            <wp:wrapTight wrapText="bothSides">
              <wp:wrapPolygon edited="0">
                <wp:start x="0" y="0"/>
                <wp:lineTo x="0" y="21364"/>
                <wp:lineTo x="21505" y="21364"/>
                <wp:lineTo x="21505" y="0"/>
                <wp:lineTo x="0" y="0"/>
              </wp:wrapPolygon>
            </wp:wrapTight>
            <wp:docPr id="33" name="Picture 33" descr="A chart showing Edinburgh's total population 199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hart showing Edinburgh's total population 1998-20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11370" cy="2561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8158F" w14:textId="1A052164" w:rsidR="008F72AB" w:rsidRDefault="008F72AB" w:rsidP="008F72AB">
      <w:pPr>
        <w:pStyle w:val="Figurecaption0"/>
        <w:ind w:left="0"/>
      </w:pPr>
    </w:p>
    <w:p w14:paraId="16516A8D" w14:textId="0A8578A6" w:rsidR="008F72AB" w:rsidRDefault="008F72AB" w:rsidP="008F72AB">
      <w:pPr>
        <w:pStyle w:val="Figurecaption0"/>
        <w:ind w:left="0"/>
      </w:pPr>
    </w:p>
    <w:p w14:paraId="353FC9DF" w14:textId="6EE88712" w:rsidR="008F72AB" w:rsidRDefault="008F72AB" w:rsidP="008F72AB">
      <w:pPr>
        <w:pStyle w:val="Figurecaption0"/>
        <w:ind w:left="0"/>
      </w:pPr>
    </w:p>
    <w:p w14:paraId="32E4EC07" w14:textId="06829108" w:rsidR="008F72AB" w:rsidRDefault="008F72AB" w:rsidP="008F72AB">
      <w:pPr>
        <w:pStyle w:val="Figurecaption0"/>
        <w:ind w:left="0"/>
      </w:pPr>
    </w:p>
    <w:p w14:paraId="0B50DAC2" w14:textId="77777777" w:rsidR="008F72AB" w:rsidRDefault="008F72AB" w:rsidP="008F72AB">
      <w:pPr>
        <w:pStyle w:val="Figurecaption0"/>
        <w:ind w:left="0"/>
      </w:pPr>
    </w:p>
    <w:p w14:paraId="693F3853" w14:textId="0637621F" w:rsidR="008F72AB" w:rsidRDefault="008F72AB" w:rsidP="008F72AB">
      <w:pPr>
        <w:pStyle w:val="Figurecaption0"/>
        <w:ind w:left="0"/>
      </w:pPr>
    </w:p>
    <w:p w14:paraId="031A97FD" w14:textId="4F95E629" w:rsidR="003336FD" w:rsidRDefault="003336FD" w:rsidP="000B7D73">
      <w:pPr>
        <w:pStyle w:val="Figurecaption0"/>
        <w:spacing w:before="240"/>
        <w:ind w:left="0"/>
      </w:pPr>
      <w:r w:rsidRPr="008F72AB">
        <w:t>Figure</w:t>
      </w:r>
      <w:r>
        <w:t xml:space="preserve"> 1</w:t>
      </w:r>
      <w:r w:rsidR="00142EAC">
        <w:t>0</w:t>
      </w:r>
      <w:r>
        <w:t>: Edinburgh’s total population 1998-2020 (NRS Scotland, 2021)</w:t>
      </w:r>
      <w:r>
        <w:rPr>
          <w:rStyle w:val="FootnoteReference"/>
        </w:rPr>
        <w:footnoteReference w:id="26"/>
      </w:r>
    </w:p>
    <w:p w14:paraId="0A58E0B7" w14:textId="4D425CD4" w:rsidR="005C7E9D" w:rsidRDefault="000B7D73" w:rsidP="00B41050">
      <w:pPr>
        <w:pStyle w:val="BodyText"/>
        <w:jc w:val="center"/>
      </w:pPr>
      <w:r>
        <w:rPr>
          <w:noProof/>
        </w:rPr>
        <w:drawing>
          <wp:anchor distT="0" distB="0" distL="114300" distR="114300" simplePos="0" relativeHeight="251681792" behindDoc="1" locked="0" layoutInCell="1" allowOverlap="1" wp14:anchorId="253FCC86" wp14:editId="6836FE50">
            <wp:simplePos x="0" y="0"/>
            <wp:positionH relativeFrom="margin">
              <wp:align>left</wp:align>
            </wp:positionH>
            <wp:positionV relativeFrom="paragraph">
              <wp:posOffset>159385</wp:posOffset>
            </wp:positionV>
            <wp:extent cx="4838700" cy="3163570"/>
            <wp:effectExtent l="0" t="0" r="0" b="0"/>
            <wp:wrapTight wrapText="bothSides">
              <wp:wrapPolygon edited="0">
                <wp:start x="0" y="0"/>
                <wp:lineTo x="0" y="21461"/>
                <wp:lineTo x="21515" y="21461"/>
                <wp:lineTo x="21515" y="0"/>
                <wp:lineTo x="0" y="0"/>
              </wp:wrapPolygon>
            </wp:wrapTight>
            <wp:docPr id="10" name="Picture 10" descr="A chart showing the projected population in Edinburgh 2018-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art showing the projected population in Edinburgh 2018-20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0161" cy="3171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B04C47" w14:textId="77777777" w:rsidR="000B7D73" w:rsidRDefault="000B7D73" w:rsidP="008F72AB">
      <w:pPr>
        <w:pStyle w:val="Figurecaption0"/>
        <w:ind w:left="0"/>
      </w:pPr>
    </w:p>
    <w:p w14:paraId="27E554F4" w14:textId="77777777" w:rsidR="000B7D73" w:rsidRDefault="000B7D73" w:rsidP="008F72AB">
      <w:pPr>
        <w:pStyle w:val="Figurecaption0"/>
        <w:ind w:left="0"/>
      </w:pPr>
    </w:p>
    <w:p w14:paraId="1D74D24B" w14:textId="77777777" w:rsidR="000B7D73" w:rsidRDefault="000B7D73" w:rsidP="008F72AB">
      <w:pPr>
        <w:pStyle w:val="Figurecaption0"/>
        <w:ind w:left="0"/>
      </w:pPr>
    </w:p>
    <w:p w14:paraId="0F575035" w14:textId="77777777" w:rsidR="000B7D73" w:rsidRDefault="000B7D73" w:rsidP="008F72AB">
      <w:pPr>
        <w:pStyle w:val="Figurecaption0"/>
        <w:ind w:left="0"/>
      </w:pPr>
    </w:p>
    <w:p w14:paraId="36449D16" w14:textId="77777777" w:rsidR="000B7D73" w:rsidRDefault="000B7D73" w:rsidP="008F72AB">
      <w:pPr>
        <w:pStyle w:val="Figurecaption0"/>
        <w:ind w:left="0"/>
      </w:pPr>
    </w:p>
    <w:p w14:paraId="3A39CB1B" w14:textId="77777777" w:rsidR="000B7D73" w:rsidRDefault="000B7D73" w:rsidP="008F72AB">
      <w:pPr>
        <w:pStyle w:val="Figurecaption0"/>
        <w:ind w:left="0"/>
      </w:pPr>
    </w:p>
    <w:p w14:paraId="49585382" w14:textId="0BE681EE" w:rsidR="000B7D73" w:rsidRDefault="000B7D73" w:rsidP="008F72AB">
      <w:pPr>
        <w:pStyle w:val="Figurecaption0"/>
        <w:ind w:left="0"/>
      </w:pPr>
    </w:p>
    <w:p w14:paraId="79855CC3" w14:textId="5631A373" w:rsidR="003336FD" w:rsidRDefault="003336FD" w:rsidP="000B7D73">
      <w:pPr>
        <w:pStyle w:val="Figurecaption0"/>
        <w:spacing w:before="120"/>
        <w:ind w:left="0"/>
      </w:pPr>
      <w:r>
        <w:lastRenderedPageBreak/>
        <w:t>Figure 1</w:t>
      </w:r>
      <w:r w:rsidR="00142EAC">
        <w:t>1</w:t>
      </w:r>
      <w:r>
        <w:t xml:space="preserve">: Projected population </w:t>
      </w:r>
      <w:r w:rsidRPr="008F72AB">
        <w:t>Edinburgh</w:t>
      </w:r>
      <w:r>
        <w:t xml:space="preserve"> 2018-2030 (Edinburgh Health and Social Care Partnership, 2021)</w:t>
      </w:r>
      <w:r>
        <w:rPr>
          <w:rStyle w:val="FootnoteReference"/>
        </w:rPr>
        <w:footnoteReference w:id="27"/>
      </w:r>
    </w:p>
    <w:p w14:paraId="4CD4DDA0" w14:textId="36CEE623" w:rsidR="000328FC" w:rsidRDefault="000328FC" w:rsidP="000328FC">
      <w:pPr>
        <w:pStyle w:val="BodyText"/>
      </w:pPr>
      <w:r>
        <w:t xml:space="preserve">In general, the population of Edinburgh enjoys a high standard of health.  Life expectancy is high, with females living 81.1 years on average and males living to 77.1 years on average.  However, there are significant inequalities in general health and mortality rates between different neighbourhoods within the city.  </w:t>
      </w:r>
    </w:p>
    <w:p w14:paraId="4A633AD3" w14:textId="7238E4FC" w:rsidR="00A80D0A" w:rsidRDefault="000328FC" w:rsidP="000328FC">
      <w:pPr>
        <w:pStyle w:val="BodyText"/>
      </w:pPr>
      <w:r>
        <w:t xml:space="preserve">Noise can be a serious problem to people living in urban areas.  In line with the Environmental Noise (Scotland) Regulations 2006, an Edinburgh Noise Action Plan was published in 2008.  The Council identified </w:t>
      </w:r>
      <w:r w:rsidR="00F42E16">
        <w:t xml:space="preserve">three </w:t>
      </w:r>
      <w:r>
        <w:t xml:space="preserve">Noise Management Areas and 10 Quiet Areas in 2014 as part of round 1 of the noise mapping process.  Following round 2, 18 Noise Management Areas and 10 Quiet areas were identified in the city (see Table </w:t>
      </w:r>
      <w:r w:rsidR="00692ECC">
        <w:t>A.4</w:t>
      </w:r>
      <w:r>
        <w:t>).  Work by the Edinburgh Agglomeration Working Group is now commencing on the fieldwork for round 3. The working group will continue to co-ordinate the action planning process and work with the Environmental Noise Steering Group and the Scottish Government in its delivery of the requirements of the Environmental Noise Regulations.</w:t>
      </w:r>
    </w:p>
    <w:p w14:paraId="59B06059" w14:textId="67978DC8" w:rsidR="007C5275" w:rsidRDefault="007C5275" w:rsidP="000B7D73">
      <w:pPr>
        <w:pStyle w:val="Figurecaption0"/>
        <w:ind w:left="0"/>
      </w:pPr>
      <w:r>
        <w:t xml:space="preserve">Table </w:t>
      </w:r>
      <w:r w:rsidR="00692ECC">
        <w:t>A.4</w:t>
      </w:r>
      <w:r>
        <w:t>: Candidate Noise Management Areas and Quiet Areas</w:t>
      </w:r>
    </w:p>
    <w:tbl>
      <w:tblPr>
        <w:tblStyle w:val="TableGrid"/>
        <w:tblW w:w="0" w:type="auto"/>
        <w:tblLook w:val="04A0" w:firstRow="1" w:lastRow="0" w:firstColumn="1" w:lastColumn="0" w:noHBand="0" w:noVBand="1"/>
      </w:tblPr>
      <w:tblGrid>
        <w:gridCol w:w="4768"/>
        <w:gridCol w:w="4768"/>
      </w:tblGrid>
      <w:tr w:rsidR="007C5275" w:rsidRPr="000B7D73" w14:paraId="75FDC4C9" w14:textId="77777777" w:rsidTr="007C5275">
        <w:trPr>
          <w:trHeight w:val="341"/>
        </w:trPr>
        <w:tc>
          <w:tcPr>
            <w:tcW w:w="4768" w:type="dxa"/>
            <w:shd w:val="clear" w:color="auto" w:fill="004595"/>
          </w:tcPr>
          <w:p w14:paraId="53C70247" w14:textId="4B58883E" w:rsidR="007C5275" w:rsidRPr="00890CF7" w:rsidRDefault="007C5275" w:rsidP="00890CF7">
            <w:pPr>
              <w:pStyle w:val="TableText"/>
              <w:rPr>
                <w:b/>
                <w:bCs/>
              </w:rPr>
            </w:pPr>
            <w:bookmarkStart w:id="12" w:name="_Hlk97128874"/>
            <w:r w:rsidRPr="00890CF7">
              <w:rPr>
                <w:b/>
                <w:bCs/>
              </w:rPr>
              <w:t>Noise Management Areas</w:t>
            </w:r>
          </w:p>
        </w:tc>
        <w:tc>
          <w:tcPr>
            <w:tcW w:w="4768" w:type="dxa"/>
            <w:shd w:val="clear" w:color="auto" w:fill="004595"/>
          </w:tcPr>
          <w:p w14:paraId="14AF3516" w14:textId="70F6F733" w:rsidR="007C5275" w:rsidRPr="00890CF7" w:rsidRDefault="007C5275" w:rsidP="00890CF7">
            <w:pPr>
              <w:pStyle w:val="TableText"/>
              <w:rPr>
                <w:b/>
                <w:bCs/>
              </w:rPr>
            </w:pPr>
            <w:r w:rsidRPr="00890CF7">
              <w:rPr>
                <w:b/>
                <w:bCs/>
              </w:rPr>
              <w:t>Quiet Areas</w:t>
            </w:r>
          </w:p>
        </w:tc>
      </w:tr>
      <w:tr w:rsidR="007C5275" w:rsidRPr="000B7D73" w14:paraId="7BD82947" w14:textId="77777777" w:rsidTr="007C5275">
        <w:tc>
          <w:tcPr>
            <w:tcW w:w="4768" w:type="dxa"/>
            <w:hideMark/>
          </w:tcPr>
          <w:p w14:paraId="302E0B32" w14:textId="77777777" w:rsidR="007C5275" w:rsidRPr="000B7D73" w:rsidRDefault="007C5275" w:rsidP="00890CF7">
            <w:pPr>
              <w:pStyle w:val="TableText"/>
              <w:rPr>
                <w:lang w:val="en-US"/>
              </w:rPr>
            </w:pPr>
            <w:r w:rsidRPr="000B7D73">
              <w:rPr>
                <w:lang w:val="en-US"/>
              </w:rPr>
              <w:t>A70 at Moat Street, Fountainbridge/Craiglockhart</w:t>
            </w:r>
          </w:p>
        </w:tc>
        <w:tc>
          <w:tcPr>
            <w:tcW w:w="4768" w:type="dxa"/>
            <w:hideMark/>
          </w:tcPr>
          <w:p w14:paraId="71704A1D" w14:textId="77777777" w:rsidR="007C5275" w:rsidRPr="000B7D73" w:rsidRDefault="007C5275" w:rsidP="00890CF7">
            <w:pPr>
              <w:pStyle w:val="TableText"/>
              <w:rPr>
                <w:lang w:val="en-US"/>
              </w:rPr>
            </w:pPr>
            <w:r w:rsidRPr="000B7D73">
              <w:rPr>
                <w:lang w:val="en-US"/>
              </w:rPr>
              <w:t>Inverleith Park</w:t>
            </w:r>
          </w:p>
        </w:tc>
      </w:tr>
      <w:tr w:rsidR="007C5275" w:rsidRPr="000B7D73" w14:paraId="512BBDB3" w14:textId="77777777" w:rsidTr="007C5275">
        <w:tc>
          <w:tcPr>
            <w:tcW w:w="4768" w:type="dxa"/>
            <w:hideMark/>
          </w:tcPr>
          <w:p w14:paraId="2EB4749E" w14:textId="77777777" w:rsidR="007C5275" w:rsidRPr="000B7D73" w:rsidRDefault="007C5275" w:rsidP="00890CF7">
            <w:pPr>
              <w:pStyle w:val="TableText"/>
              <w:rPr>
                <w:lang w:val="en-US"/>
              </w:rPr>
            </w:pPr>
            <w:r w:rsidRPr="000B7D73">
              <w:rPr>
                <w:lang w:val="en-US"/>
              </w:rPr>
              <w:t>A71 at Gorgie Road near Robertson Avenue, Fountainbridge/Craiglockhart</w:t>
            </w:r>
          </w:p>
        </w:tc>
        <w:tc>
          <w:tcPr>
            <w:tcW w:w="4768" w:type="dxa"/>
            <w:hideMark/>
          </w:tcPr>
          <w:p w14:paraId="5BEA938F" w14:textId="77777777" w:rsidR="007C5275" w:rsidRPr="000B7D73" w:rsidRDefault="007C5275" w:rsidP="00890CF7">
            <w:pPr>
              <w:pStyle w:val="TableText"/>
              <w:rPr>
                <w:lang w:val="en-US"/>
              </w:rPr>
            </w:pPr>
            <w:r w:rsidRPr="000B7D73">
              <w:rPr>
                <w:lang w:val="en-US"/>
              </w:rPr>
              <w:t>Royal Botanic Gardens</w:t>
            </w:r>
          </w:p>
        </w:tc>
      </w:tr>
      <w:tr w:rsidR="007C5275" w:rsidRPr="000B7D73" w14:paraId="2565CDE6" w14:textId="77777777" w:rsidTr="007C5275">
        <w:tc>
          <w:tcPr>
            <w:tcW w:w="4768" w:type="dxa"/>
            <w:hideMark/>
          </w:tcPr>
          <w:p w14:paraId="16195352" w14:textId="77777777" w:rsidR="007C5275" w:rsidRPr="000B7D73" w:rsidRDefault="007C5275" w:rsidP="00890CF7">
            <w:pPr>
              <w:pStyle w:val="TableText"/>
              <w:rPr>
                <w:lang w:val="en-US"/>
              </w:rPr>
            </w:pPr>
            <w:r w:rsidRPr="000B7D73">
              <w:rPr>
                <w:lang w:val="en-US"/>
              </w:rPr>
              <w:t>A70 at Slateford Road, Fountainbridge/Craiglockhart</w:t>
            </w:r>
          </w:p>
        </w:tc>
        <w:tc>
          <w:tcPr>
            <w:tcW w:w="4768" w:type="dxa"/>
            <w:hideMark/>
          </w:tcPr>
          <w:p w14:paraId="649E3BB7" w14:textId="77777777" w:rsidR="007C5275" w:rsidRPr="000B7D73" w:rsidRDefault="007C5275" w:rsidP="00890CF7">
            <w:pPr>
              <w:pStyle w:val="TableText"/>
              <w:rPr>
                <w:lang w:val="en-US"/>
              </w:rPr>
            </w:pPr>
            <w:r w:rsidRPr="000B7D73">
              <w:rPr>
                <w:lang w:val="en-US"/>
              </w:rPr>
              <w:t>Lochend Park</w:t>
            </w:r>
          </w:p>
        </w:tc>
      </w:tr>
      <w:tr w:rsidR="007C5275" w:rsidRPr="000B7D73" w14:paraId="0B2E98B6" w14:textId="77777777" w:rsidTr="007C5275">
        <w:tc>
          <w:tcPr>
            <w:tcW w:w="4768" w:type="dxa"/>
            <w:hideMark/>
          </w:tcPr>
          <w:p w14:paraId="4D98B20B" w14:textId="77777777" w:rsidR="007C5275" w:rsidRPr="000B7D73" w:rsidRDefault="007C5275" w:rsidP="00890CF7">
            <w:pPr>
              <w:pStyle w:val="TableText"/>
              <w:rPr>
                <w:lang w:val="en-US"/>
              </w:rPr>
            </w:pPr>
            <w:r w:rsidRPr="000B7D73">
              <w:rPr>
                <w:lang w:val="en-US"/>
              </w:rPr>
              <w:t>A702 at Morningside Road, near Steel’s Place, Meadows/Morningside</w:t>
            </w:r>
          </w:p>
        </w:tc>
        <w:tc>
          <w:tcPr>
            <w:tcW w:w="4768" w:type="dxa"/>
            <w:hideMark/>
          </w:tcPr>
          <w:p w14:paraId="75F32064" w14:textId="77777777" w:rsidR="007C5275" w:rsidRPr="000B7D73" w:rsidRDefault="007C5275" w:rsidP="00890CF7">
            <w:pPr>
              <w:pStyle w:val="TableText"/>
              <w:rPr>
                <w:lang w:val="en-US"/>
              </w:rPr>
            </w:pPr>
            <w:r w:rsidRPr="000B7D73">
              <w:rPr>
                <w:lang w:val="en-US"/>
              </w:rPr>
              <w:t>Arthur’s Seat Volcano, Holyrood Park and Duddingston Loch</w:t>
            </w:r>
          </w:p>
        </w:tc>
      </w:tr>
      <w:tr w:rsidR="007C5275" w:rsidRPr="000B7D73" w14:paraId="34448FEB" w14:textId="77777777" w:rsidTr="007C5275">
        <w:tc>
          <w:tcPr>
            <w:tcW w:w="4768" w:type="dxa"/>
            <w:hideMark/>
          </w:tcPr>
          <w:p w14:paraId="15A545AD" w14:textId="77777777" w:rsidR="007C5275" w:rsidRPr="000B7D73" w:rsidRDefault="007C5275" w:rsidP="00890CF7">
            <w:pPr>
              <w:pStyle w:val="TableText"/>
              <w:rPr>
                <w:lang w:val="en-US"/>
              </w:rPr>
            </w:pPr>
            <w:r w:rsidRPr="000B7D73">
              <w:rPr>
                <w:lang w:val="en-US"/>
              </w:rPr>
              <w:t>A8 at Roseburn Gardens, Roseburn Street, Corstorphine/Murrayfield</w:t>
            </w:r>
          </w:p>
        </w:tc>
        <w:tc>
          <w:tcPr>
            <w:tcW w:w="4768" w:type="dxa"/>
            <w:hideMark/>
          </w:tcPr>
          <w:p w14:paraId="006EC33C" w14:textId="77777777" w:rsidR="007C5275" w:rsidRPr="000B7D73" w:rsidRDefault="007C5275" w:rsidP="00890CF7">
            <w:pPr>
              <w:pStyle w:val="TableText"/>
              <w:rPr>
                <w:lang w:val="en-US"/>
              </w:rPr>
            </w:pPr>
            <w:r w:rsidRPr="000B7D73">
              <w:rPr>
                <w:lang w:val="en-US"/>
              </w:rPr>
              <w:t>Jewel Park</w:t>
            </w:r>
          </w:p>
        </w:tc>
      </w:tr>
      <w:bookmarkEnd w:id="12"/>
      <w:tr w:rsidR="007C5275" w:rsidRPr="000B7D73" w14:paraId="51CDC5D6" w14:textId="77777777" w:rsidTr="007C5275">
        <w:tc>
          <w:tcPr>
            <w:tcW w:w="4768" w:type="dxa"/>
            <w:hideMark/>
          </w:tcPr>
          <w:p w14:paraId="4551E9E9" w14:textId="77777777" w:rsidR="007C5275" w:rsidRPr="000B7D73" w:rsidRDefault="007C5275" w:rsidP="00890CF7">
            <w:pPr>
              <w:pStyle w:val="TableText"/>
              <w:rPr>
                <w:lang w:val="en-US"/>
              </w:rPr>
            </w:pPr>
            <w:r w:rsidRPr="000B7D73">
              <w:rPr>
                <w:lang w:val="en-US"/>
              </w:rPr>
              <w:t>A70 at Orwell Place, West Park Place, Sighthill/Gorgie</w:t>
            </w:r>
          </w:p>
        </w:tc>
        <w:tc>
          <w:tcPr>
            <w:tcW w:w="4768" w:type="dxa"/>
            <w:hideMark/>
          </w:tcPr>
          <w:p w14:paraId="7287762E" w14:textId="77777777" w:rsidR="007C5275" w:rsidRPr="000B7D73" w:rsidRDefault="007C5275" w:rsidP="00890CF7">
            <w:pPr>
              <w:pStyle w:val="TableText"/>
              <w:rPr>
                <w:lang w:val="en-US"/>
              </w:rPr>
            </w:pPr>
            <w:r w:rsidRPr="000B7D73">
              <w:rPr>
                <w:lang w:val="en-US"/>
              </w:rPr>
              <w:t>Craiglockhart Dell</w:t>
            </w:r>
          </w:p>
        </w:tc>
      </w:tr>
      <w:tr w:rsidR="007C5275" w:rsidRPr="000B7D73" w14:paraId="2B83E5DC" w14:textId="77777777" w:rsidTr="007C5275">
        <w:tc>
          <w:tcPr>
            <w:tcW w:w="4768" w:type="dxa"/>
            <w:hideMark/>
          </w:tcPr>
          <w:p w14:paraId="5E2B77C9" w14:textId="77777777" w:rsidR="007C5275" w:rsidRPr="000B7D73" w:rsidRDefault="007C5275" w:rsidP="00890CF7">
            <w:pPr>
              <w:pStyle w:val="TableText"/>
              <w:rPr>
                <w:lang w:val="en-US"/>
              </w:rPr>
            </w:pPr>
            <w:r w:rsidRPr="000B7D73">
              <w:rPr>
                <w:lang w:val="en-US"/>
              </w:rPr>
              <w:t>A702 at Gilmore Place, Home Street, Lochrin Terrace, West Tollcross, City Centre</w:t>
            </w:r>
          </w:p>
        </w:tc>
        <w:tc>
          <w:tcPr>
            <w:tcW w:w="4768" w:type="dxa"/>
            <w:hideMark/>
          </w:tcPr>
          <w:p w14:paraId="449F3A14" w14:textId="77777777" w:rsidR="007C5275" w:rsidRPr="000B7D73" w:rsidRDefault="007C5275" w:rsidP="00890CF7">
            <w:pPr>
              <w:pStyle w:val="TableText"/>
              <w:rPr>
                <w:lang w:val="en-US"/>
              </w:rPr>
            </w:pPr>
            <w:r w:rsidRPr="000B7D73">
              <w:rPr>
                <w:lang w:val="en-US"/>
              </w:rPr>
              <w:t>Easter Craiglockhart Hill</w:t>
            </w:r>
          </w:p>
        </w:tc>
      </w:tr>
      <w:tr w:rsidR="007C5275" w:rsidRPr="000B7D73" w14:paraId="63D0FD02" w14:textId="77777777" w:rsidTr="007C5275">
        <w:tc>
          <w:tcPr>
            <w:tcW w:w="4768" w:type="dxa"/>
            <w:hideMark/>
          </w:tcPr>
          <w:p w14:paraId="7E160588" w14:textId="77777777" w:rsidR="007C5275" w:rsidRPr="000B7D73" w:rsidRDefault="007C5275" w:rsidP="00890CF7">
            <w:pPr>
              <w:pStyle w:val="TableText"/>
              <w:rPr>
                <w:lang w:val="en-US"/>
              </w:rPr>
            </w:pPr>
            <w:r w:rsidRPr="000B7D73">
              <w:rPr>
                <w:lang w:val="en-US"/>
              </w:rPr>
              <w:t>A702 Lauriston Place at Glen Street, City Centre</w:t>
            </w:r>
          </w:p>
        </w:tc>
        <w:tc>
          <w:tcPr>
            <w:tcW w:w="4768" w:type="dxa"/>
            <w:hideMark/>
          </w:tcPr>
          <w:p w14:paraId="2DDF1FBA" w14:textId="77777777" w:rsidR="007C5275" w:rsidRPr="000B7D73" w:rsidRDefault="007C5275" w:rsidP="00890CF7">
            <w:pPr>
              <w:pStyle w:val="TableText"/>
              <w:rPr>
                <w:lang w:val="en-US"/>
              </w:rPr>
            </w:pPr>
            <w:r w:rsidRPr="000B7D73">
              <w:rPr>
                <w:lang w:val="en-US"/>
              </w:rPr>
              <w:t>Hermitage of Braid/Blackford Hill</w:t>
            </w:r>
          </w:p>
        </w:tc>
      </w:tr>
      <w:tr w:rsidR="007C5275" w:rsidRPr="000B7D73" w14:paraId="1F61B346" w14:textId="77777777" w:rsidTr="007C5275">
        <w:tc>
          <w:tcPr>
            <w:tcW w:w="4768" w:type="dxa"/>
            <w:hideMark/>
          </w:tcPr>
          <w:p w14:paraId="638718C8" w14:textId="77777777" w:rsidR="007C5275" w:rsidRPr="000B7D73" w:rsidRDefault="007C5275" w:rsidP="00890CF7">
            <w:pPr>
              <w:pStyle w:val="TableText"/>
              <w:rPr>
                <w:lang w:val="en-US"/>
              </w:rPr>
            </w:pPr>
            <w:r w:rsidRPr="000B7D73">
              <w:rPr>
                <w:lang w:val="en-US"/>
              </w:rPr>
              <w:t>East Fountainbridge, West Port at Lady Lawson Street, City Centre</w:t>
            </w:r>
          </w:p>
        </w:tc>
        <w:tc>
          <w:tcPr>
            <w:tcW w:w="4768" w:type="dxa"/>
            <w:hideMark/>
          </w:tcPr>
          <w:p w14:paraId="50CE8F71" w14:textId="77777777" w:rsidR="007C5275" w:rsidRPr="000B7D73" w:rsidRDefault="007C5275" w:rsidP="00890CF7">
            <w:pPr>
              <w:pStyle w:val="TableText"/>
              <w:rPr>
                <w:lang w:val="en-US"/>
              </w:rPr>
            </w:pPr>
            <w:r w:rsidRPr="000B7D73">
              <w:rPr>
                <w:lang w:val="en-US"/>
              </w:rPr>
              <w:t>Galachlaw</w:t>
            </w:r>
          </w:p>
        </w:tc>
      </w:tr>
      <w:tr w:rsidR="007C5275" w:rsidRPr="000B7D73" w14:paraId="5F83FFBC" w14:textId="77777777" w:rsidTr="007C5275">
        <w:tc>
          <w:tcPr>
            <w:tcW w:w="4768" w:type="dxa"/>
            <w:hideMark/>
          </w:tcPr>
          <w:p w14:paraId="02275A60" w14:textId="77777777" w:rsidR="007C5275" w:rsidRPr="000B7D73" w:rsidRDefault="007C5275" w:rsidP="00890CF7">
            <w:pPr>
              <w:pStyle w:val="TableText"/>
              <w:rPr>
                <w:lang w:val="en-US"/>
              </w:rPr>
            </w:pPr>
            <w:r w:rsidRPr="000B7D73">
              <w:rPr>
                <w:lang w:val="en-US"/>
              </w:rPr>
              <w:t>At West Nicholson Street, Southside/Newington</w:t>
            </w:r>
          </w:p>
        </w:tc>
        <w:tc>
          <w:tcPr>
            <w:tcW w:w="4768" w:type="dxa"/>
            <w:vMerge w:val="restart"/>
            <w:hideMark/>
          </w:tcPr>
          <w:p w14:paraId="3AC2D577" w14:textId="77777777" w:rsidR="007C5275" w:rsidRPr="000B7D73" w:rsidRDefault="007C5275" w:rsidP="00890CF7">
            <w:pPr>
              <w:pStyle w:val="TableText"/>
              <w:rPr>
                <w:lang w:val="en-US"/>
              </w:rPr>
            </w:pPr>
            <w:r w:rsidRPr="000B7D73">
              <w:rPr>
                <w:lang w:val="en-US"/>
              </w:rPr>
              <w:t>Burdiehouse Burn Valley Park</w:t>
            </w:r>
          </w:p>
        </w:tc>
      </w:tr>
      <w:tr w:rsidR="007C5275" w:rsidRPr="000B7D73" w14:paraId="669A4C2E" w14:textId="77777777" w:rsidTr="007C5275">
        <w:tc>
          <w:tcPr>
            <w:tcW w:w="4768" w:type="dxa"/>
            <w:hideMark/>
          </w:tcPr>
          <w:p w14:paraId="65F6C768" w14:textId="77777777" w:rsidR="007C5275" w:rsidRPr="000B7D73" w:rsidRDefault="007C5275" w:rsidP="00890CF7">
            <w:pPr>
              <w:pStyle w:val="TableText"/>
              <w:rPr>
                <w:lang w:val="en-US"/>
              </w:rPr>
            </w:pPr>
            <w:r w:rsidRPr="000B7D73">
              <w:rPr>
                <w:lang w:val="en-US"/>
              </w:rPr>
              <w:t>Deanhaugh Street, Raeburn Place, Inverleith</w:t>
            </w:r>
          </w:p>
        </w:tc>
        <w:tc>
          <w:tcPr>
            <w:tcW w:w="0" w:type="auto"/>
            <w:vMerge/>
            <w:hideMark/>
          </w:tcPr>
          <w:p w14:paraId="474CC124" w14:textId="77777777" w:rsidR="007C5275" w:rsidRPr="000B7D73" w:rsidRDefault="007C5275" w:rsidP="00890CF7">
            <w:pPr>
              <w:pStyle w:val="TableText"/>
              <w:rPr>
                <w:lang w:val="en-US" w:eastAsia="en-US"/>
              </w:rPr>
            </w:pPr>
          </w:p>
        </w:tc>
      </w:tr>
      <w:tr w:rsidR="007C5275" w:rsidRPr="000B7D73" w14:paraId="0117D49D" w14:textId="77777777" w:rsidTr="007C5275">
        <w:tc>
          <w:tcPr>
            <w:tcW w:w="4768" w:type="dxa"/>
            <w:hideMark/>
          </w:tcPr>
          <w:p w14:paraId="48697334" w14:textId="77777777" w:rsidR="007C5275" w:rsidRPr="000B7D73" w:rsidRDefault="007C5275" w:rsidP="00890CF7">
            <w:pPr>
              <w:pStyle w:val="TableText"/>
              <w:rPr>
                <w:lang w:val="en-US"/>
              </w:rPr>
            </w:pPr>
            <w:r w:rsidRPr="000B7D73">
              <w:rPr>
                <w:lang w:val="en-US"/>
              </w:rPr>
              <w:t>Broughton Road at Dunedin Street, Leith Walk</w:t>
            </w:r>
          </w:p>
        </w:tc>
        <w:tc>
          <w:tcPr>
            <w:tcW w:w="0" w:type="auto"/>
            <w:vMerge/>
            <w:hideMark/>
          </w:tcPr>
          <w:p w14:paraId="10755A59" w14:textId="77777777" w:rsidR="007C5275" w:rsidRPr="000B7D73" w:rsidRDefault="007C5275" w:rsidP="00890CF7">
            <w:pPr>
              <w:pStyle w:val="TableText"/>
              <w:rPr>
                <w:lang w:val="en-US" w:eastAsia="en-US"/>
              </w:rPr>
            </w:pPr>
          </w:p>
        </w:tc>
      </w:tr>
      <w:tr w:rsidR="007C5275" w:rsidRPr="000B7D73" w14:paraId="29A65D43" w14:textId="77777777" w:rsidTr="007C5275">
        <w:tc>
          <w:tcPr>
            <w:tcW w:w="4768" w:type="dxa"/>
            <w:hideMark/>
          </w:tcPr>
          <w:p w14:paraId="0A443B11" w14:textId="77777777" w:rsidR="007C5275" w:rsidRPr="000B7D73" w:rsidRDefault="007C5275" w:rsidP="00890CF7">
            <w:pPr>
              <w:pStyle w:val="TableText"/>
              <w:rPr>
                <w:lang w:val="en-US"/>
              </w:rPr>
            </w:pPr>
            <w:r w:rsidRPr="000B7D73">
              <w:rPr>
                <w:lang w:val="en-US"/>
              </w:rPr>
              <w:t>Easter Road at London Road, City Centre</w:t>
            </w:r>
          </w:p>
        </w:tc>
        <w:tc>
          <w:tcPr>
            <w:tcW w:w="0" w:type="auto"/>
            <w:vMerge/>
            <w:hideMark/>
          </w:tcPr>
          <w:p w14:paraId="769ABF35" w14:textId="77777777" w:rsidR="007C5275" w:rsidRPr="000B7D73" w:rsidRDefault="007C5275" w:rsidP="00890CF7">
            <w:pPr>
              <w:pStyle w:val="TableText"/>
              <w:rPr>
                <w:lang w:val="en-US" w:eastAsia="en-US"/>
              </w:rPr>
            </w:pPr>
          </w:p>
        </w:tc>
      </w:tr>
      <w:tr w:rsidR="007C5275" w:rsidRPr="000B7D73" w14:paraId="19C7B8B3" w14:textId="77777777" w:rsidTr="007C5275">
        <w:tc>
          <w:tcPr>
            <w:tcW w:w="4768" w:type="dxa"/>
            <w:hideMark/>
          </w:tcPr>
          <w:p w14:paraId="6E549F17" w14:textId="77777777" w:rsidR="007C5275" w:rsidRPr="000B7D73" w:rsidRDefault="007C5275" w:rsidP="00890CF7">
            <w:pPr>
              <w:pStyle w:val="TableText"/>
              <w:rPr>
                <w:lang w:val="en-US"/>
              </w:rPr>
            </w:pPr>
            <w:r w:rsidRPr="000B7D73">
              <w:rPr>
                <w:lang w:val="en-US"/>
              </w:rPr>
              <w:t>Brunswick Road, Easter Road, Leith Walk</w:t>
            </w:r>
          </w:p>
        </w:tc>
        <w:tc>
          <w:tcPr>
            <w:tcW w:w="0" w:type="auto"/>
            <w:vMerge/>
            <w:hideMark/>
          </w:tcPr>
          <w:p w14:paraId="3F6827B2" w14:textId="77777777" w:rsidR="007C5275" w:rsidRPr="000B7D73" w:rsidRDefault="007C5275" w:rsidP="00890CF7">
            <w:pPr>
              <w:pStyle w:val="TableText"/>
              <w:rPr>
                <w:lang w:val="en-US" w:eastAsia="en-US"/>
              </w:rPr>
            </w:pPr>
          </w:p>
        </w:tc>
      </w:tr>
      <w:tr w:rsidR="007C5275" w:rsidRPr="000B7D73" w14:paraId="6FB18E95" w14:textId="77777777" w:rsidTr="007C5275">
        <w:tc>
          <w:tcPr>
            <w:tcW w:w="4768" w:type="dxa"/>
            <w:hideMark/>
          </w:tcPr>
          <w:p w14:paraId="1E05671F" w14:textId="77777777" w:rsidR="007C5275" w:rsidRPr="000B7D73" w:rsidRDefault="007C5275" w:rsidP="00890CF7">
            <w:pPr>
              <w:pStyle w:val="TableText"/>
              <w:rPr>
                <w:lang w:val="en-US"/>
              </w:rPr>
            </w:pPr>
            <w:r w:rsidRPr="000B7D73">
              <w:rPr>
                <w:lang w:val="en-US"/>
              </w:rPr>
              <w:t>A902 at Ferry Road, Forth</w:t>
            </w:r>
          </w:p>
        </w:tc>
        <w:tc>
          <w:tcPr>
            <w:tcW w:w="0" w:type="auto"/>
            <w:vMerge/>
            <w:hideMark/>
          </w:tcPr>
          <w:p w14:paraId="5051DDA9" w14:textId="77777777" w:rsidR="007C5275" w:rsidRPr="000B7D73" w:rsidRDefault="007C5275" w:rsidP="00890CF7">
            <w:pPr>
              <w:pStyle w:val="TableText"/>
              <w:rPr>
                <w:lang w:val="en-US" w:eastAsia="en-US"/>
              </w:rPr>
            </w:pPr>
          </w:p>
        </w:tc>
      </w:tr>
      <w:tr w:rsidR="007C5275" w:rsidRPr="000B7D73" w14:paraId="1C5C1C8B" w14:textId="77777777" w:rsidTr="007C5275">
        <w:tc>
          <w:tcPr>
            <w:tcW w:w="4768" w:type="dxa"/>
            <w:hideMark/>
          </w:tcPr>
          <w:p w14:paraId="09B7E371" w14:textId="77777777" w:rsidR="007C5275" w:rsidRPr="000B7D73" w:rsidRDefault="007C5275" w:rsidP="00890CF7">
            <w:pPr>
              <w:pStyle w:val="TableText"/>
              <w:rPr>
                <w:lang w:val="en-US"/>
              </w:rPr>
            </w:pPr>
            <w:r w:rsidRPr="000B7D73">
              <w:rPr>
                <w:lang w:val="en-US"/>
              </w:rPr>
              <w:t>Lindsay Road at Portland Street, Leith</w:t>
            </w:r>
          </w:p>
        </w:tc>
        <w:tc>
          <w:tcPr>
            <w:tcW w:w="0" w:type="auto"/>
            <w:vMerge/>
            <w:hideMark/>
          </w:tcPr>
          <w:p w14:paraId="6E9D1C85" w14:textId="77777777" w:rsidR="007C5275" w:rsidRPr="000B7D73" w:rsidRDefault="007C5275" w:rsidP="00890CF7">
            <w:pPr>
              <w:pStyle w:val="TableText"/>
              <w:rPr>
                <w:lang w:val="en-US" w:eastAsia="en-US"/>
              </w:rPr>
            </w:pPr>
          </w:p>
        </w:tc>
      </w:tr>
      <w:tr w:rsidR="007C5275" w:rsidRPr="000B7D73" w14:paraId="25E9F175" w14:textId="77777777" w:rsidTr="007C5275">
        <w:tc>
          <w:tcPr>
            <w:tcW w:w="4768" w:type="dxa"/>
            <w:hideMark/>
          </w:tcPr>
          <w:p w14:paraId="14BFCEA6" w14:textId="77777777" w:rsidR="007C5275" w:rsidRPr="000B7D73" w:rsidRDefault="007C5275" w:rsidP="00890CF7">
            <w:pPr>
              <w:pStyle w:val="TableText"/>
              <w:rPr>
                <w:lang w:val="en-US"/>
              </w:rPr>
            </w:pPr>
            <w:r w:rsidRPr="000B7D73">
              <w:rPr>
                <w:lang w:val="en-US"/>
              </w:rPr>
              <w:lastRenderedPageBreak/>
              <w:t>Ferry Road at Madeira Street, Leith Walk</w:t>
            </w:r>
          </w:p>
        </w:tc>
        <w:tc>
          <w:tcPr>
            <w:tcW w:w="0" w:type="auto"/>
            <w:vMerge/>
            <w:hideMark/>
          </w:tcPr>
          <w:p w14:paraId="1D677B17" w14:textId="77777777" w:rsidR="007C5275" w:rsidRPr="000B7D73" w:rsidRDefault="007C5275" w:rsidP="00890CF7">
            <w:pPr>
              <w:pStyle w:val="TableText"/>
              <w:rPr>
                <w:lang w:val="en-US" w:eastAsia="en-US"/>
              </w:rPr>
            </w:pPr>
          </w:p>
        </w:tc>
      </w:tr>
      <w:tr w:rsidR="007C5275" w:rsidRPr="000B7D73" w14:paraId="15737938" w14:textId="77777777" w:rsidTr="007C5275">
        <w:tc>
          <w:tcPr>
            <w:tcW w:w="4768" w:type="dxa"/>
            <w:hideMark/>
          </w:tcPr>
          <w:p w14:paraId="1AE0CFA7" w14:textId="77777777" w:rsidR="007C5275" w:rsidRPr="000B7D73" w:rsidRDefault="007C5275" w:rsidP="00890CF7">
            <w:pPr>
              <w:pStyle w:val="TableText"/>
              <w:rPr>
                <w:lang w:val="en-US"/>
              </w:rPr>
            </w:pPr>
            <w:r w:rsidRPr="000B7D73">
              <w:rPr>
                <w:lang w:val="en-US"/>
              </w:rPr>
              <w:t>Great Junction Street at Bangor Road, Leith</w:t>
            </w:r>
          </w:p>
        </w:tc>
        <w:tc>
          <w:tcPr>
            <w:tcW w:w="0" w:type="auto"/>
            <w:vMerge/>
            <w:hideMark/>
          </w:tcPr>
          <w:p w14:paraId="3D8AEB59" w14:textId="77777777" w:rsidR="007C5275" w:rsidRPr="000B7D73" w:rsidRDefault="007C5275" w:rsidP="00890CF7">
            <w:pPr>
              <w:pStyle w:val="TableText"/>
              <w:rPr>
                <w:lang w:val="en-US" w:eastAsia="en-US"/>
              </w:rPr>
            </w:pPr>
          </w:p>
        </w:tc>
      </w:tr>
    </w:tbl>
    <w:p w14:paraId="5959B534" w14:textId="7126F844" w:rsidR="007C5275" w:rsidRDefault="0034469A" w:rsidP="000B7D73">
      <w:pPr>
        <w:pStyle w:val="BodyText"/>
      </w:pPr>
      <w:r>
        <w:t>A</w:t>
      </w:r>
      <w:r w:rsidR="007C5275">
        <w:t>n emerging public health priority in Edinburgh as well as many cities in the UK and across the world, is poor air quality. This is primarily caused by road transport emissions of gases such as nitrogen oxides (NOx) and particulate matter (PM</w:t>
      </w:r>
      <w:r w:rsidR="007C5275">
        <w:rPr>
          <w:vertAlign w:val="subscript"/>
        </w:rPr>
        <w:t>2.5</w:t>
      </w:r>
      <w:r w:rsidR="007C5275">
        <w:rPr>
          <w:rFonts w:ascii="Arial" w:hAnsi="Arial" w:cs="Arial"/>
          <w:vertAlign w:val="subscript"/>
        </w:rPr>
        <w:t> </w:t>
      </w:r>
      <w:r w:rsidR="007C5275">
        <w:t>and PM</w:t>
      </w:r>
      <w:r w:rsidR="007C5275">
        <w:rPr>
          <w:vertAlign w:val="subscript"/>
        </w:rPr>
        <w:t>10</w:t>
      </w:r>
      <w:r w:rsidR="007C5275">
        <w:t>). These can have significant impacts on health, child development and environmental quality. In Scotland</w:t>
      </w:r>
      <w:r w:rsidR="00F42E16">
        <w:t>,</w:t>
      </w:r>
      <w:r w:rsidR="007C5275">
        <w:t xml:space="preserve"> recent work by Health Protection Scotland estimates that in 2016 there were 1,724 attributable deaths (not actual deaths, but modelled estimates that would be attributable to long-term exposure) associated with man-made PM</w:t>
      </w:r>
      <w:r w:rsidR="007C5275" w:rsidRPr="00B91CF0">
        <w:rPr>
          <w:vertAlign w:val="subscript"/>
        </w:rPr>
        <w:t>2.5</w:t>
      </w:r>
      <w:r w:rsidR="007C5275">
        <w:t>. In Edinburgh, this is equivalent to 153 attributable deaths in the same year.</w:t>
      </w:r>
      <w:r w:rsidR="007C5275">
        <w:rPr>
          <w:rFonts w:ascii="Arial" w:hAnsi="Arial" w:cs="Arial"/>
        </w:rPr>
        <w:t> </w:t>
      </w:r>
      <w:r w:rsidR="007C5275">
        <w:t>The council’s Air Quality Action Plan (AQAP) and Active Travel Action Plan both aim to increase health benefits in Edinburgh, through implementing controlled parking zones to improve air quality and by encouraging modal shift to more active travel.</w:t>
      </w:r>
    </w:p>
    <w:p w14:paraId="2043462E" w14:textId="72AA1588" w:rsidR="007C5275" w:rsidRDefault="007C5275" w:rsidP="000B7D73">
      <w:pPr>
        <w:pStyle w:val="BodyText"/>
        <w:rPr>
          <w:rFonts w:ascii="Arial" w:hAnsi="Arial" w:cs="Arial"/>
        </w:rPr>
      </w:pPr>
      <w:r>
        <w:t>The Council</w:t>
      </w:r>
      <w:r w:rsidR="000B3BEF">
        <w:t>’s administrative</w:t>
      </w:r>
      <w:r>
        <w:t xml:space="preserve"> area includes several establishments controlled under Major Hazards legislation</w:t>
      </w:r>
      <w:r>
        <w:rPr>
          <w:rStyle w:val="FootnoteReference"/>
        </w:rPr>
        <w:footnoteReference w:id="28"/>
      </w:r>
      <w:r>
        <w:t>.</w:t>
      </w:r>
      <w:r>
        <w:rPr>
          <w:rFonts w:ascii="Arial" w:hAnsi="Arial" w:cs="Arial"/>
        </w:rPr>
        <w:t> </w:t>
      </w:r>
      <w:r>
        <w:t xml:space="preserve"> There is a requirement to ensure that new development is not located in an area where it will put occupants at undue risk from these hazards.</w:t>
      </w:r>
      <w:r>
        <w:rPr>
          <w:rFonts w:ascii="Arial" w:hAnsi="Arial" w:cs="Arial"/>
        </w:rPr>
        <w:t> </w:t>
      </w:r>
    </w:p>
    <w:p w14:paraId="538A7DC5" w14:textId="1CE2BD0D" w:rsidR="000328FC" w:rsidRDefault="000328FC" w:rsidP="008B56F2">
      <w:pPr>
        <w:pStyle w:val="TOCHeading"/>
      </w:pPr>
      <w:bookmarkStart w:id="13" w:name="_Toc99536681"/>
      <w:r>
        <w:t>Cultural Heritage</w:t>
      </w:r>
      <w:bookmarkEnd w:id="13"/>
    </w:p>
    <w:p w14:paraId="675FA2B1" w14:textId="089DD695" w:rsidR="000328FC" w:rsidRDefault="000328FC" w:rsidP="000328FC">
      <w:pPr>
        <w:pStyle w:val="BodyText"/>
        <w:jc w:val="both"/>
      </w:pPr>
      <w:r w:rsidRPr="000328FC">
        <w:rPr>
          <w:b/>
          <w:bCs/>
        </w:rPr>
        <w:t>Conservation Areas:</w:t>
      </w:r>
      <w:r w:rsidRPr="000328FC">
        <w:t xml:space="preserve"> There are 50 conservation areas in Edinburgh, an increase of 10 since </w:t>
      </w:r>
      <w:r w:rsidR="00A54E1F" w:rsidRPr="000328FC">
        <w:t xml:space="preserve">2011 (see Figure </w:t>
      </w:r>
      <w:r w:rsidR="003336FD" w:rsidRPr="00B81B44">
        <w:t>1</w:t>
      </w:r>
      <w:r w:rsidR="00142EAC">
        <w:t>2</w:t>
      </w:r>
      <w:r w:rsidR="00A54E1F" w:rsidRPr="00B81B44">
        <w:t>)</w:t>
      </w:r>
      <w:r w:rsidRPr="000328FC">
        <w:t xml:space="preserve"> of widely varying character, ranging from the mediaeval Old Town, the Georgian New Town, Victorian suburbs and former villages which have been absorbed as the city has grown.   </w:t>
      </w:r>
    </w:p>
    <w:p w14:paraId="43D26894" w14:textId="08DA7FEB" w:rsidR="000328FC" w:rsidRPr="000328FC" w:rsidRDefault="000B7D73" w:rsidP="00B41050">
      <w:pPr>
        <w:pStyle w:val="BodyText"/>
        <w:spacing w:before="120"/>
        <w:jc w:val="center"/>
        <w:rPr>
          <w:rFonts w:asciiTheme="minorHAnsi" w:hAnsiTheme="minorHAnsi" w:cstheme="minorHAnsi"/>
        </w:rPr>
      </w:pPr>
      <w:r>
        <w:rPr>
          <w:rFonts w:asciiTheme="minorHAnsi" w:hAnsiTheme="minorHAnsi" w:cstheme="minorHAnsi"/>
          <w:noProof/>
        </w:rPr>
        <w:drawing>
          <wp:anchor distT="0" distB="0" distL="114300" distR="114300" simplePos="0" relativeHeight="251682816" behindDoc="1" locked="0" layoutInCell="1" allowOverlap="1" wp14:anchorId="0F51DBD1" wp14:editId="66BB7DFF">
            <wp:simplePos x="0" y="0"/>
            <wp:positionH relativeFrom="column">
              <wp:posOffset>13335</wp:posOffset>
            </wp:positionH>
            <wp:positionV relativeFrom="paragraph">
              <wp:posOffset>129540</wp:posOffset>
            </wp:positionV>
            <wp:extent cx="4794636" cy="3091738"/>
            <wp:effectExtent l="0" t="0" r="6350" b="0"/>
            <wp:wrapTight wrapText="bothSides">
              <wp:wrapPolygon edited="0">
                <wp:start x="0" y="0"/>
                <wp:lineTo x="0" y="21431"/>
                <wp:lineTo x="21543" y="21431"/>
                <wp:lineTo x="21543" y="0"/>
                <wp:lineTo x="0" y="0"/>
              </wp:wrapPolygon>
            </wp:wrapTight>
            <wp:docPr id="8" name="Picture 8" descr="A map outlining the conservation areas in Edinbur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utlining the conservation areas in Edinburgh. "/>
                    <pic:cNvPicPr/>
                  </pic:nvPicPr>
                  <pic:blipFill>
                    <a:blip r:embed="rId29">
                      <a:extLst>
                        <a:ext uri="{28A0092B-C50C-407E-A947-70E740481C1C}">
                          <a14:useLocalDpi xmlns:a14="http://schemas.microsoft.com/office/drawing/2010/main" val="0"/>
                        </a:ext>
                      </a:extLst>
                    </a:blip>
                    <a:stretch>
                      <a:fillRect/>
                    </a:stretch>
                  </pic:blipFill>
                  <pic:spPr>
                    <a:xfrm>
                      <a:off x="0" y="0"/>
                      <a:ext cx="4794636" cy="3091738"/>
                    </a:xfrm>
                    <a:prstGeom prst="rect">
                      <a:avLst/>
                    </a:prstGeom>
                  </pic:spPr>
                </pic:pic>
              </a:graphicData>
            </a:graphic>
            <wp14:sizeRelH relativeFrom="page">
              <wp14:pctWidth>0</wp14:pctWidth>
            </wp14:sizeRelH>
            <wp14:sizeRelV relativeFrom="page">
              <wp14:pctHeight>0</wp14:pctHeight>
            </wp14:sizeRelV>
          </wp:anchor>
        </w:drawing>
      </w:r>
    </w:p>
    <w:p w14:paraId="74D5656B" w14:textId="77777777" w:rsidR="000B7D73" w:rsidRDefault="000B7D73" w:rsidP="003336FD">
      <w:pPr>
        <w:pStyle w:val="BodyText"/>
        <w:keepNext/>
        <w:keepLines/>
        <w:widowControl w:val="0"/>
        <w:jc w:val="both"/>
        <w:rPr>
          <w:rFonts w:asciiTheme="minorHAnsi" w:hAnsiTheme="minorHAnsi" w:cstheme="minorHAnsi"/>
        </w:rPr>
      </w:pPr>
    </w:p>
    <w:p w14:paraId="62046B34" w14:textId="77777777" w:rsidR="000B7D73" w:rsidRDefault="000B7D73" w:rsidP="003336FD">
      <w:pPr>
        <w:pStyle w:val="BodyText"/>
        <w:keepNext/>
        <w:keepLines/>
        <w:widowControl w:val="0"/>
        <w:jc w:val="both"/>
        <w:rPr>
          <w:rFonts w:asciiTheme="minorHAnsi" w:hAnsiTheme="minorHAnsi" w:cstheme="minorHAnsi"/>
        </w:rPr>
      </w:pPr>
    </w:p>
    <w:p w14:paraId="144E56DE" w14:textId="77777777" w:rsidR="000B7D73" w:rsidRDefault="000B7D73" w:rsidP="003336FD">
      <w:pPr>
        <w:pStyle w:val="BodyText"/>
        <w:keepNext/>
        <w:keepLines/>
        <w:widowControl w:val="0"/>
        <w:jc w:val="both"/>
        <w:rPr>
          <w:rFonts w:asciiTheme="minorHAnsi" w:hAnsiTheme="minorHAnsi" w:cstheme="minorHAnsi"/>
        </w:rPr>
      </w:pPr>
    </w:p>
    <w:p w14:paraId="428AEDA5" w14:textId="77777777" w:rsidR="000B7D73" w:rsidRDefault="000B7D73" w:rsidP="003336FD">
      <w:pPr>
        <w:pStyle w:val="BodyText"/>
        <w:keepNext/>
        <w:keepLines/>
        <w:widowControl w:val="0"/>
        <w:jc w:val="both"/>
        <w:rPr>
          <w:rFonts w:asciiTheme="minorHAnsi" w:hAnsiTheme="minorHAnsi" w:cstheme="minorHAnsi"/>
        </w:rPr>
      </w:pPr>
    </w:p>
    <w:p w14:paraId="2F14E1CE" w14:textId="77777777" w:rsidR="000B7D73" w:rsidRDefault="000B7D73" w:rsidP="003336FD">
      <w:pPr>
        <w:pStyle w:val="BodyText"/>
        <w:keepNext/>
        <w:keepLines/>
        <w:widowControl w:val="0"/>
        <w:jc w:val="both"/>
        <w:rPr>
          <w:rFonts w:asciiTheme="minorHAnsi" w:hAnsiTheme="minorHAnsi" w:cstheme="minorHAnsi"/>
        </w:rPr>
      </w:pPr>
    </w:p>
    <w:p w14:paraId="336AD29B" w14:textId="77777777" w:rsidR="000B7D73" w:rsidRDefault="000B7D73" w:rsidP="003336FD">
      <w:pPr>
        <w:pStyle w:val="BodyText"/>
        <w:keepNext/>
        <w:keepLines/>
        <w:widowControl w:val="0"/>
        <w:jc w:val="both"/>
        <w:rPr>
          <w:rFonts w:asciiTheme="minorHAnsi" w:hAnsiTheme="minorHAnsi" w:cstheme="minorHAnsi"/>
        </w:rPr>
      </w:pPr>
    </w:p>
    <w:p w14:paraId="38B8EFE3" w14:textId="77777777" w:rsidR="000B7D73" w:rsidRDefault="000B7D73" w:rsidP="003336FD">
      <w:pPr>
        <w:pStyle w:val="BodyText"/>
        <w:keepNext/>
        <w:keepLines/>
        <w:widowControl w:val="0"/>
        <w:jc w:val="both"/>
        <w:rPr>
          <w:rFonts w:asciiTheme="minorHAnsi" w:hAnsiTheme="minorHAnsi" w:cstheme="minorHAnsi"/>
        </w:rPr>
      </w:pPr>
    </w:p>
    <w:p w14:paraId="521BB61F" w14:textId="77777777" w:rsidR="000B7D73" w:rsidRDefault="000B7D73" w:rsidP="003336FD">
      <w:pPr>
        <w:pStyle w:val="BodyText"/>
        <w:keepNext/>
        <w:keepLines/>
        <w:widowControl w:val="0"/>
        <w:jc w:val="both"/>
        <w:rPr>
          <w:rFonts w:asciiTheme="minorHAnsi" w:hAnsiTheme="minorHAnsi" w:cstheme="minorHAnsi"/>
        </w:rPr>
      </w:pPr>
    </w:p>
    <w:p w14:paraId="3FCD66F9" w14:textId="77777777" w:rsidR="000B7D73" w:rsidRDefault="000B7D73" w:rsidP="003336FD">
      <w:pPr>
        <w:pStyle w:val="BodyText"/>
        <w:keepNext/>
        <w:keepLines/>
        <w:widowControl w:val="0"/>
        <w:jc w:val="both"/>
        <w:rPr>
          <w:rFonts w:asciiTheme="minorHAnsi" w:hAnsiTheme="minorHAnsi" w:cstheme="minorHAnsi"/>
        </w:rPr>
      </w:pPr>
    </w:p>
    <w:p w14:paraId="490FA3AE" w14:textId="0C269922" w:rsidR="003336FD" w:rsidRDefault="003336FD" w:rsidP="000B7D73">
      <w:pPr>
        <w:pStyle w:val="BodyText"/>
        <w:keepNext/>
        <w:keepLines/>
        <w:widowControl w:val="0"/>
        <w:spacing w:before="0"/>
        <w:jc w:val="both"/>
        <w:rPr>
          <w:rFonts w:asciiTheme="minorHAnsi" w:hAnsiTheme="minorHAnsi" w:cstheme="minorHAnsi"/>
        </w:rPr>
      </w:pPr>
      <w:r w:rsidRPr="000328FC">
        <w:rPr>
          <w:rFonts w:asciiTheme="minorHAnsi" w:hAnsiTheme="minorHAnsi" w:cstheme="minorHAnsi"/>
        </w:rPr>
        <w:t xml:space="preserve">Figure </w:t>
      </w:r>
      <w:r>
        <w:rPr>
          <w:rFonts w:asciiTheme="minorHAnsi" w:hAnsiTheme="minorHAnsi" w:cstheme="minorHAnsi"/>
        </w:rPr>
        <w:t>1</w:t>
      </w:r>
      <w:r w:rsidR="00142EAC">
        <w:rPr>
          <w:rFonts w:asciiTheme="minorHAnsi" w:hAnsiTheme="minorHAnsi" w:cstheme="minorHAnsi"/>
        </w:rPr>
        <w:t>2</w:t>
      </w:r>
      <w:r w:rsidRPr="000328FC">
        <w:rPr>
          <w:rFonts w:asciiTheme="minorHAnsi" w:hAnsiTheme="minorHAnsi" w:cstheme="minorHAnsi"/>
        </w:rPr>
        <w:t>: Conservation area</w:t>
      </w:r>
      <w:r>
        <w:rPr>
          <w:rFonts w:asciiTheme="minorHAnsi" w:hAnsiTheme="minorHAnsi" w:cstheme="minorHAnsi"/>
        </w:rPr>
        <w:t>s</w:t>
      </w:r>
      <w:r w:rsidRPr="000328FC">
        <w:rPr>
          <w:rFonts w:asciiTheme="minorHAnsi" w:hAnsiTheme="minorHAnsi" w:cstheme="minorHAnsi"/>
        </w:rPr>
        <w:t xml:space="preserve"> in Edi</w:t>
      </w:r>
      <w:r>
        <w:rPr>
          <w:rFonts w:asciiTheme="minorHAnsi" w:hAnsiTheme="minorHAnsi" w:cstheme="minorHAnsi"/>
        </w:rPr>
        <w:t>n</w:t>
      </w:r>
      <w:r w:rsidRPr="000328FC">
        <w:rPr>
          <w:rFonts w:asciiTheme="minorHAnsi" w:hAnsiTheme="minorHAnsi" w:cstheme="minorHAnsi"/>
        </w:rPr>
        <w:t>burgh</w:t>
      </w:r>
      <w:r>
        <w:rPr>
          <w:rFonts w:asciiTheme="minorHAnsi" w:hAnsiTheme="minorHAnsi" w:cstheme="minorHAnsi"/>
        </w:rPr>
        <w:t xml:space="preserve"> (City of Edinburgh Council, 2022)</w:t>
      </w:r>
      <w:r>
        <w:rPr>
          <w:rStyle w:val="FootnoteReference"/>
          <w:rFonts w:asciiTheme="minorHAnsi" w:hAnsiTheme="minorHAnsi" w:cstheme="minorHAnsi"/>
        </w:rPr>
        <w:footnoteReference w:id="29"/>
      </w:r>
    </w:p>
    <w:p w14:paraId="0C621E8F" w14:textId="24762E79" w:rsidR="000328FC" w:rsidRPr="000328FC" w:rsidRDefault="000328FC" w:rsidP="000328FC">
      <w:pPr>
        <w:pStyle w:val="BodyText"/>
        <w:jc w:val="both"/>
      </w:pPr>
      <w:r w:rsidRPr="000328FC">
        <w:rPr>
          <w:b/>
          <w:bCs/>
        </w:rPr>
        <w:t>Historic gardens and designed landscapes:</w:t>
      </w:r>
      <w:r w:rsidRPr="000328FC">
        <w:t xml:space="preserve"> Historic Environment Scotland maintain the Inventory of Gardens and Designed Landscapes, which was initiated in 1987.  The purpose is to record assets of national, regional </w:t>
      </w:r>
      <w:r w:rsidRPr="000328FC">
        <w:lastRenderedPageBreak/>
        <w:t xml:space="preserve">and local importance.  They are valuable in terms of contribution to scenery, history, artistic design, wildlife, horticulture or tourism.  A total of 17 sites, a reduction of three since 2011, are listed within the Council’s area.    </w:t>
      </w:r>
    </w:p>
    <w:p w14:paraId="2B3B0EFF" w14:textId="075D61AB" w:rsidR="000328FC" w:rsidRPr="000328FC" w:rsidRDefault="000328FC" w:rsidP="000328FC">
      <w:pPr>
        <w:pStyle w:val="BodyText"/>
        <w:jc w:val="both"/>
      </w:pPr>
      <w:r w:rsidRPr="000328FC">
        <w:rPr>
          <w:b/>
          <w:bCs/>
        </w:rPr>
        <w:t>Listed Buildings:</w:t>
      </w:r>
      <w:r w:rsidRPr="000328FC">
        <w:t xml:space="preserve"> Edinburgh has the largest concentration of listed buildings in the UK outside London, with 4,830 listed items, comprising approximately 34,000 individual properties (as </w:t>
      </w:r>
      <w:r w:rsidR="00F42E16">
        <w:t>of</w:t>
      </w:r>
      <w:r w:rsidRPr="000328FC">
        <w:t xml:space="preserve"> June 2018). </w:t>
      </w:r>
    </w:p>
    <w:p w14:paraId="13BB0536" w14:textId="1F2440EC" w:rsidR="000328FC" w:rsidRPr="000328FC" w:rsidRDefault="000328FC" w:rsidP="000328FC">
      <w:pPr>
        <w:pStyle w:val="BodyText"/>
        <w:jc w:val="both"/>
      </w:pPr>
      <w:r w:rsidRPr="000328FC">
        <w:rPr>
          <w:b/>
          <w:bCs/>
        </w:rPr>
        <w:t>Scheduled Monuments:</w:t>
      </w:r>
      <w:r w:rsidRPr="000328FC">
        <w:t xml:space="preserve"> Scotland has a rich heritage of </w:t>
      </w:r>
      <w:r w:rsidR="00AD5779">
        <w:t>scheduled</w:t>
      </w:r>
      <w:r w:rsidRPr="000328FC">
        <w:t xml:space="preserve"> monuments. They are important both in their own right and as a resource for research, education, leisure and tourism.</w:t>
      </w:r>
      <w:r w:rsidR="005C7E9D">
        <w:t xml:space="preserve"> </w:t>
      </w:r>
      <w:r w:rsidRPr="000328FC">
        <w:t xml:space="preserve">There are currently 56 scheduled monuments within the City of Edinburgh Council boundary. </w:t>
      </w:r>
    </w:p>
    <w:p w14:paraId="08C3A16B" w14:textId="77777777" w:rsidR="000328FC" w:rsidRPr="000328FC" w:rsidRDefault="000328FC" w:rsidP="000328FC">
      <w:pPr>
        <w:pStyle w:val="BodyText"/>
        <w:jc w:val="both"/>
      </w:pPr>
      <w:r w:rsidRPr="000328FC">
        <w:rPr>
          <w:b/>
          <w:bCs/>
        </w:rPr>
        <w:t>World Heritage site:</w:t>
      </w:r>
      <w:r w:rsidRPr="000328FC">
        <w:t xml:space="preserve"> The key historic designation in Edinburgh is the New and Old Town World Heritage Site, which was inscribed by UNESCO (United Educational Scientific and Cultural Organisation) in 1995.  One of only six in Scotland, it covers approximately 4.5sq kms of the city’s historic core. Another key World Heritage site in the Edinburgh area is the Forth Bridge (a railway bridge) which was inscribed in 2015.  Its three diamond-shaped towers form a cantilever bridge which was completed in 1890 and carries a dual-track railway line 46 metres above the Firth of Forth.  </w:t>
      </w:r>
    </w:p>
    <w:p w14:paraId="5437A28B" w14:textId="243C147A" w:rsidR="00735E07" w:rsidRDefault="000328FC" w:rsidP="008B56F2">
      <w:pPr>
        <w:pStyle w:val="BodyText"/>
        <w:jc w:val="both"/>
      </w:pPr>
      <w:r w:rsidRPr="000328FC">
        <w:t>In addition to the designated sites above there are a variety of non-designated heritage assets and sites of known or suspected archaeological significance that can be found across the wider Edinburgh area.</w:t>
      </w:r>
      <w:r w:rsidRPr="000328FC">
        <w:rPr>
          <w:rFonts w:ascii="Arial" w:hAnsi="Arial" w:cs="Arial"/>
        </w:rPr>
        <w:t> </w:t>
      </w:r>
    </w:p>
    <w:p w14:paraId="41789FFD" w14:textId="77777777" w:rsidR="00407A9C" w:rsidRDefault="00407A9C" w:rsidP="006659BF">
      <w:pPr>
        <w:pStyle w:val="BodyText"/>
      </w:pPr>
    </w:p>
    <w:p w14:paraId="1ABE4FC5" w14:textId="77777777" w:rsidR="00407A9C" w:rsidRDefault="00407A9C" w:rsidP="006659BF">
      <w:pPr>
        <w:pStyle w:val="BodyText"/>
      </w:pPr>
    </w:p>
    <w:bookmarkEnd w:id="3"/>
    <w:p w14:paraId="7BE5E19B" w14:textId="77777777" w:rsidR="003D71CE" w:rsidRDefault="003D71CE">
      <w:pPr>
        <w:pStyle w:val="BodyText"/>
        <w:rPr>
          <w:rFonts w:eastAsiaTheme="majorEastAsia" w:cstheme="majorBidi"/>
          <w:b/>
          <w:iCs/>
          <w:sz w:val="22"/>
        </w:rPr>
      </w:pPr>
    </w:p>
    <w:sectPr w:rsidR="003D71CE" w:rsidSect="0064586A">
      <w:headerReference w:type="default" r:id="rId30"/>
      <w:footerReference w:type="default" r:id="rId31"/>
      <w:pgSz w:w="11906" w:h="16838" w:code="9"/>
      <w:pgMar w:top="1134" w:right="1134" w:bottom="567" w:left="1134"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0BF46" w14:textId="77777777" w:rsidR="0013516F" w:rsidRDefault="0013516F" w:rsidP="00066DE7">
      <w:r>
        <w:separator/>
      </w:r>
    </w:p>
    <w:p w14:paraId="42369EFF" w14:textId="77777777" w:rsidR="0013516F" w:rsidRDefault="0013516F"/>
  </w:endnote>
  <w:endnote w:type="continuationSeparator" w:id="0">
    <w:p w14:paraId="40AE2DD9" w14:textId="77777777" w:rsidR="0013516F" w:rsidRDefault="0013516F" w:rsidP="00066DE7">
      <w:r>
        <w:continuationSeparator/>
      </w:r>
    </w:p>
    <w:p w14:paraId="7521BD23" w14:textId="77777777" w:rsidR="0013516F" w:rsidRDefault="0013516F"/>
    <w:p w14:paraId="2A61E9B8" w14:textId="77777777" w:rsidR="0013516F" w:rsidRDefault="0013516F"/>
    <w:p w14:paraId="094FF105" w14:textId="77777777" w:rsidR="0013516F" w:rsidRDefault="0013516F"/>
    <w:p w14:paraId="5ADDF0A1" w14:textId="77777777" w:rsidR="0013516F" w:rsidRDefault="0013516F"/>
    <w:p w14:paraId="0F6549F3" w14:textId="77777777" w:rsidR="0013516F" w:rsidRDefault="0013516F"/>
    <w:p w14:paraId="3BD2B39D" w14:textId="77777777" w:rsidR="0013516F" w:rsidRDefault="0013516F"/>
    <w:p w14:paraId="1D415AB0" w14:textId="77777777" w:rsidR="0013516F" w:rsidRDefault="0013516F"/>
    <w:p w14:paraId="6F40E4CE" w14:textId="77777777" w:rsidR="0013516F" w:rsidRDefault="001351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acobs Chronos">
    <w:panose1 w:val="020B0603030503030204"/>
    <w:charset w:val="00"/>
    <w:family w:val="swiss"/>
    <w:pitch w:val="variable"/>
    <w:sig w:usb0="A00000EF" w:usb1="0000E0EB" w:usb2="00000008" w:usb3="00000000" w:csb0="00000001" w:csb1="00000000"/>
    <w:embedRegular r:id="rId1" w:fontKey="{4D81155D-7FA2-4A16-AB93-19A992CF4F70}"/>
    <w:embedBold r:id="rId2" w:fontKey="{A658C884-06ED-4511-9707-CDACECD7E4C9}"/>
    <w:embedItalic r:id="rId3" w:fontKey="{A7EA8CFA-DEBE-43AB-9F72-CDBE981E6387}"/>
    <w:embedBoldItalic r:id="rId4" w:fontKey="{612035B7-DB60-4B7E-B052-DCADD9171F0C}"/>
  </w:font>
  <w:font w:name="Times New Roman">
    <w:panose1 w:val="02020603050405020304"/>
    <w:charset w:val="00"/>
    <w:family w:val="roman"/>
    <w:pitch w:val="variable"/>
    <w:sig w:usb0="E0002EFF" w:usb1="C000785B" w:usb2="00000009" w:usb3="00000000" w:csb0="000001FF" w:csb1="00000000"/>
  </w:font>
  <w:font w:name="Jacobs Chronos Light">
    <w:panose1 w:val="020B0403030503030204"/>
    <w:charset w:val="00"/>
    <w:family w:val="swiss"/>
    <w:pitch w:val="variable"/>
    <w:sig w:usb0="A00000EF" w:usb1="0000E0EB" w:usb2="00000008" w:usb3="00000000" w:csb0="00000001" w:csb1="00000000"/>
    <w:embedRegular r:id="rId5" w:fontKey="{948627A7-B3D8-4A11-B42E-C14478AC8910}"/>
    <w:embedBold r:id="rId6" w:fontKey="{CA9D5672-CF92-446E-B4EF-8678FE3C6338}"/>
    <w:embedItalic r:id="rId7" w:fontKey="{CE3FA0C7-A3B5-4321-A31D-FD3E0ABA7090}"/>
    <w:embedBoldItalic r:id="rId8" w:fontKey="{BA90C9D0-21B6-48EB-A6D7-DA6B6E19ECC9}"/>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317BA228-1EB7-48BA-A032-692C63A5E5A2}"/>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0" w:fontKey="{AF1B69E4-6B97-440F-BEB4-C9BD94585CA2}"/>
  </w:font>
  <w:font w:name="Consolas">
    <w:panose1 w:val="020B0609020204030204"/>
    <w:charset w:val="00"/>
    <w:family w:val="modern"/>
    <w:pitch w:val="fixed"/>
    <w:sig w:usb0="E00006FF" w:usb1="0000FCFF" w:usb2="00000001" w:usb3="00000000" w:csb0="0000019F" w:csb1="00000000"/>
    <w:embedRegular r:id="rId11" w:fontKey="{D1F0EE9D-5EA3-4E60-9F49-CC7ED3E64375}"/>
  </w:font>
  <w:font w:name="Tahoma">
    <w:panose1 w:val="020B0604030504040204"/>
    <w:charset w:val="00"/>
    <w:family w:val="swiss"/>
    <w:pitch w:val="variable"/>
    <w:sig w:usb0="E1002EFF" w:usb1="C000605B" w:usb2="00000029" w:usb3="00000000" w:csb0="000101FF" w:csb1="00000000"/>
    <w:embedRegular r:id="rId12" w:fontKey="{DD46461C-1DF5-4ED6-8E79-32D75A7350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7853"/>
      <w:gridCol w:w="1785"/>
    </w:tblGrid>
    <w:tr w:rsidR="00704ADC" w14:paraId="2F959BA6" w14:textId="77777777" w:rsidTr="00961D5A">
      <w:trPr>
        <w:trHeight w:val="170"/>
      </w:trPr>
      <w:tc>
        <w:tcPr>
          <w:tcW w:w="4074" w:type="pct"/>
          <w:tcBorders>
            <w:top w:val="nil"/>
            <w:bottom w:val="single" w:sz="2" w:space="0" w:color="231EDC" w:themeColor="accent1"/>
          </w:tcBorders>
          <w:tcMar>
            <w:top w:w="0" w:type="dxa"/>
            <w:left w:w="0" w:type="dxa"/>
            <w:right w:w="0" w:type="dxa"/>
          </w:tcMar>
          <w:vAlign w:val="center"/>
        </w:tcPr>
        <w:p w14:paraId="06CFDB34" w14:textId="77777777" w:rsidR="00704ADC" w:rsidRDefault="00704ADC" w:rsidP="000328FC">
          <w:pPr>
            <w:pStyle w:val="Footer"/>
            <w:ind w:right="568"/>
          </w:pPr>
        </w:p>
      </w:tc>
      <w:tc>
        <w:tcPr>
          <w:tcW w:w="926" w:type="pct"/>
          <w:tcBorders>
            <w:top w:val="nil"/>
            <w:bottom w:val="single" w:sz="2" w:space="0" w:color="231EDC" w:themeColor="accent1"/>
          </w:tcBorders>
          <w:tcMar>
            <w:top w:w="0" w:type="dxa"/>
            <w:right w:w="0" w:type="dxa"/>
          </w:tcMar>
          <w:vAlign w:val="center"/>
        </w:tcPr>
        <w:p w14:paraId="6F19105C" w14:textId="77777777" w:rsidR="00704ADC" w:rsidRPr="00C36AD8" w:rsidRDefault="00704ADC" w:rsidP="000328FC">
          <w:pPr>
            <w:pStyle w:val="Footer"/>
            <w:ind w:left="3131" w:hanging="3131"/>
            <w:jc w:val="right"/>
            <w:rPr>
              <w:sz w:val="22"/>
            </w:rPr>
          </w:pPr>
        </w:p>
      </w:tc>
    </w:tr>
    <w:tr w:rsidR="00704ADC" w:rsidRPr="00360972" w14:paraId="789784FA" w14:textId="77777777" w:rsidTr="00ED7BC5">
      <w:trPr>
        <w:trHeight w:val="737"/>
      </w:trPr>
      <w:tc>
        <w:tcPr>
          <w:tcW w:w="4074" w:type="pct"/>
          <w:tcBorders>
            <w:top w:val="single" w:sz="2" w:space="0" w:color="231EDC" w:themeColor="accent1"/>
          </w:tcBorders>
          <w:tcMar>
            <w:top w:w="113" w:type="dxa"/>
            <w:left w:w="0" w:type="dxa"/>
            <w:right w:w="0" w:type="dxa"/>
          </w:tcMar>
        </w:tcPr>
        <w:p w14:paraId="1980FD75" w14:textId="52837D87" w:rsidR="00704ADC" w:rsidRDefault="00704ADC" w:rsidP="00FC5F07">
          <w:pPr>
            <w:pStyle w:val="Footer"/>
          </w:pPr>
        </w:p>
      </w:tc>
      <w:tc>
        <w:tcPr>
          <w:tcW w:w="926" w:type="pct"/>
          <w:tcBorders>
            <w:top w:val="single" w:sz="2" w:space="0" w:color="231EDC" w:themeColor="accent1"/>
          </w:tcBorders>
          <w:tcMar>
            <w:top w:w="113" w:type="dxa"/>
            <w:right w:w="0" w:type="dxa"/>
          </w:tcMar>
        </w:tcPr>
        <w:p w14:paraId="0488364B" w14:textId="77777777" w:rsidR="00704ADC" w:rsidRPr="00661DA6" w:rsidRDefault="00704ADC" w:rsidP="000328FC">
          <w:pPr>
            <w:pStyle w:val="Footer"/>
            <w:jc w:val="right"/>
          </w:pPr>
          <w:r>
            <w:fldChar w:fldCharType="begin"/>
          </w:r>
          <w:r>
            <w:instrText xml:space="preserve"> PAGE   \* MERGEFORMAT </w:instrText>
          </w:r>
          <w:r>
            <w:fldChar w:fldCharType="separate"/>
          </w:r>
          <w:r>
            <w:t>1</w:t>
          </w:r>
          <w:r>
            <w:rPr>
              <w:noProof/>
            </w:rPr>
            <w:fldChar w:fldCharType="end"/>
          </w:r>
        </w:p>
      </w:tc>
    </w:tr>
  </w:tbl>
  <w:p w14:paraId="67D571B0" w14:textId="77777777" w:rsidR="00704ADC" w:rsidRPr="006902C0" w:rsidRDefault="00704ADC" w:rsidP="000328FC">
    <w:pPr>
      <w:pStyle w:val="Header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5C259" w14:textId="77777777" w:rsidR="0013516F" w:rsidRDefault="0013516F" w:rsidP="00066DE7">
      <w:r>
        <w:separator/>
      </w:r>
    </w:p>
    <w:p w14:paraId="489DA334" w14:textId="77777777" w:rsidR="0013516F" w:rsidRDefault="0013516F"/>
  </w:footnote>
  <w:footnote w:type="continuationSeparator" w:id="0">
    <w:p w14:paraId="03812D98" w14:textId="77777777" w:rsidR="0013516F" w:rsidRDefault="0013516F" w:rsidP="00066DE7">
      <w:r>
        <w:continuationSeparator/>
      </w:r>
    </w:p>
    <w:p w14:paraId="0DBECB9B" w14:textId="77777777" w:rsidR="0013516F" w:rsidRDefault="0013516F"/>
    <w:p w14:paraId="6B95B34D" w14:textId="77777777" w:rsidR="0013516F" w:rsidRDefault="0013516F"/>
    <w:p w14:paraId="690C8170" w14:textId="77777777" w:rsidR="0013516F" w:rsidRDefault="0013516F"/>
    <w:p w14:paraId="1FCE9841" w14:textId="77777777" w:rsidR="0013516F" w:rsidRDefault="0013516F"/>
    <w:p w14:paraId="53B3C509" w14:textId="77777777" w:rsidR="0013516F" w:rsidRDefault="0013516F"/>
    <w:p w14:paraId="329AD8CA" w14:textId="77777777" w:rsidR="0013516F" w:rsidRDefault="0013516F"/>
    <w:p w14:paraId="797B9426" w14:textId="77777777" w:rsidR="0013516F" w:rsidRDefault="0013516F"/>
    <w:p w14:paraId="14EF5CAF" w14:textId="77777777" w:rsidR="0013516F" w:rsidRDefault="0013516F"/>
  </w:footnote>
  <w:footnote w:id="1">
    <w:p w14:paraId="3F4A5C56" w14:textId="1C7AC579" w:rsidR="003336FD" w:rsidRPr="005C7E9D" w:rsidRDefault="003336FD" w:rsidP="003336FD">
      <w:pPr>
        <w:pStyle w:val="FootnoteText"/>
        <w:rPr>
          <w:lang w:val="en-US"/>
        </w:rPr>
      </w:pPr>
      <w:r>
        <w:rPr>
          <w:rStyle w:val="FootnoteReference"/>
        </w:rPr>
        <w:footnoteRef/>
      </w:r>
      <w:r w:rsidR="00897158">
        <w:t xml:space="preserve"> Air Quality in Scotland (2021). Available from</w:t>
      </w:r>
      <w:r>
        <w:t xml:space="preserve"> </w:t>
      </w:r>
      <w:hyperlink r:id="rId1" w:anchor="!/la/461" w:history="1">
        <w:r w:rsidRPr="006A05C4">
          <w:rPr>
            <w:rStyle w:val="Hyperlink"/>
          </w:rPr>
          <w:t>https://www.scottishairquality.scot/laqm/aqma#!/la/461</w:t>
        </w:r>
      </w:hyperlink>
      <w:r w:rsidR="00897158">
        <w:t xml:space="preserve"> </w:t>
      </w:r>
    </w:p>
  </w:footnote>
  <w:footnote w:id="2">
    <w:p w14:paraId="07F5CADE" w14:textId="71C37F71" w:rsidR="000C78CC" w:rsidRDefault="000C78CC" w:rsidP="000C78CC">
      <w:pPr>
        <w:pStyle w:val="FootnoteText"/>
      </w:pPr>
      <w:r>
        <w:rPr>
          <w:rStyle w:val="FootnoteReference"/>
        </w:rPr>
        <w:footnoteRef/>
      </w:r>
      <w:r>
        <w:t xml:space="preserve"> The Scottish Government</w:t>
      </w:r>
      <w:r w:rsidR="00897158">
        <w:t xml:space="preserve"> (</w:t>
      </w:r>
      <w:r>
        <w:t>2019</w:t>
      </w:r>
      <w:r w:rsidR="00897158">
        <w:t>)</w:t>
      </w:r>
      <w:r w:rsidR="00283E64">
        <w:t>.</w:t>
      </w:r>
      <w:r>
        <w:t xml:space="preserve"> </w:t>
      </w:r>
      <w:r w:rsidR="00897158">
        <w:t>Available from</w:t>
      </w:r>
      <w:r>
        <w:t xml:space="preserve"> </w:t>
      </w:r>
      <w:hyperlink r:id="rId2" w:history="1">
        <w:r>
          <w:rPr>
            <w:rStyle w:val="Hyperlink"/>
          </w:rPr>
          <w:t>https://www.gov.scot/policies/climate-change/reducing-emissions/</w:t>
        </w:r>
      </w:hyperlink>
      <w:r w:rsidR="00897158">
        <w:rPr>
          <w:rStyle w:val="Hyperlink"/>
        </w:rPr>
        <w:t xml:space="preserve"> </w:t>
      </w:r>
    </w:p>
  </w:footnote>
  <w:footnote w:id="3">
    <w:p w14:paraId="7B746D01" w14:textId="100FC23A" w:rsidR="000C78CC" w:rsidRDefault="000C78CC" w:rsidP="000C78CC">
      <w:pPr>
        <w:pStyle w:val="FootnoteText"/>
      </w:pPr>
      <w:r>
        <w:rPr>
          <w:rStyle w:val="FootnoteReference"/>
        </w:rPr>
        <w:footnoteRef/>
      </w:r>
      <w:r>
        <w:t xml:space="preserve"> The City of Edinburgh Council</w:t>
      </w:r>
      <w:r w:rsidR="00897158">
        <w:t xml:space="preserve"> (</w:t>
      </w:r>
      <w:r>
        <w:t>2015</w:t>
      </w:r>
      <w:r w:rsidR="00897158">
        <w:t>).</w:t>
      </w:r>
      <w:r>
        <w:t xml:space="preserve"> Available </w:t>
      </w:r>
      <w:r w:rsidR="00897158">
        <w:t xml:space="preserve">from </w:t>
      </w:r>
      <w:hyperlink r:id="rId3" w:history="1">
        <w:r w:rsidR="00897158" w:rsidRPr="00F00AE2">
          <w:rPr>
            <w:rStyle w:val="Hyperlink"/>
          </w:rPr>
          <w:t>https://www.edinburgh.gov.uk/downloads/download/13734/sustainable-energy-action-plan</w:t>
        </w:r>
      </w:hyperlink>
      <w:r w:rsidR="00897158">
        <w:t xml:space="preserve"> </w:t>
      </w:r>
    </w:p>
  </w:footnote>
  <w:footnote w:id="4">
    <w:p w14:paraId="4AD5028B" w14:textId="2F1D8369" w:rsidR="00CF6069" w:rsidRPr="00CF6069" w:rsidRDefault="00CF6069">
      <w:pPr>
        <w:pStyle w:val="FootnoteText"/>
        <w:rPr>
          <w:lang w:val="en-US"/>
        </w:rPr>
      </w:pPr>
      <w:r>
        <w:rPr>
          <w:rStyle w:val="FootnoteReference"/>
        </w:rPr>
        <w:footnoteRef/>
      </w:r>
      <w:r>
        <w:t xml:space="preserve"> </w:t>
      </w:r>
      <w:r w:rsidR="00897158">
        <w:t xml:space="preserve">Met Office (2021). Available from </w:t>
      </w:r>
      <w:hyperlink r:id="rId4" w:history="1">
        <w:r w:rsidR="00897158" w:rsidRPr="00F00AE2">
          <w:rPr>
            <w:rStyle w:val="Hyperlink"/>
          </w:rPr>
          <w:t>https://www.metoffice.gov.uk/research/climate/maps-and-data/uk-climate-averages</w:t>
        </w:r>
      </w:hyperlink>
      <w:r w:rsidR="00897158">
        <w:t xml:space="preserve"> </w:t>
      </w:r>
    </w:p>
  </w:footnote>
  <w:footnote w:id="5">
    <w:p w14:paraId="2594DBD2" w14:textId="10E988E1" w:rsidR="004A3777" w:rsidRDefault="004A3777">
      <w:pPr>
        <w:pStyle w:val="FootnoteText"/>
      </w:pPr>
      <w:r>
        <w:rPr>
          <w:rStyle w:val="FootnoteReference"/>
        </w:rPr>
        <w:footnoteRef/>
      </w:r>
      <w:r>
        <w:t xml:space="preserve"> Centre of Expertise for Waters (2021). Available from: </w:t>
      </w:r>
      <w:r w:rsidRPr="004A3777">
        <w:t>https://www.crew.ac.uk/dynamic-coast</w:t>
      </w:r>
    </w:p>
  </w:footnote>
  <w:footnote w:id="6">
    <w:p w14:paraId="7A01C9E0" w14:textId="23507A57" w:rsidR="00F26E2C" w:rsidRDefault="00F26E2C">
      <w:pPr>
        <w:pStyle w:val="FootnoteText"/>
      </w:pPr>
      <w:r>
        <w:rPr>
          <w:rStyle w:val="FootnoteReference"/>
        </w:rPr>
        <w:footnoteRef/>
      </w:r>
      <w:r>
        <w:t xml:space="preserve"> The Edinburgh Partnership (2014). Available from </w:t>
      </w:r>
      <w:hyperlink r:id="rId5" w:history="1">
        <w:r w:rsidRPr="00D66084">
          <w:rPr>
            <w:rStyle w:val="Hyperlink"/>
          </w:rPr>
          <w:t>https://www.edinburgh.gov.uk/downloads/file/24709/resilient-edinburgh-evidence-base-and-risk-analysis</w:t>
        </w:r>
      </w:hyperlink>
      <w:r>
        <w:t xml:space="preserve"> </w:t>
      </w:r>
    </w:p>
  </w:footnote>
  <w:footnote w:id="7">
    <w:p w14:paraId="15023C09" w14:textId="77777777" w:rsidR="001B4041" w:rsidRDefault="001B4041" w:rsidP="001B4041">
      <w:pPr>
        <w:pStyle w:val="FootnoteText"/>
      </w:pPr>
      <w:r w:rsidRPr="00580E02">
        <w:rPr>
          <w:rStyle w:val="FootnoteReference"/>
        </w:rPr>
        <w:footnoteRef/>
      </w:r>
      <w:r>
        <w:t>Met Office (2018) UKCP18 Science Overview Report. Available from</w:t>
      </w:r>
      <w:r w:rsidRPr="00580E02">
        <w:t xml:space="preserve"> </w:t>
      </w:r>
      <w:hyperlink r:id="rId6" w:history="1">
        <w:r w:rsidRPr="00580E02">
          <w:rPr>
            <w:rStyle w:val="Hyperlink"/>
          </w:rPr>
          <w:t>https://www.metoffice.gov.uk/pub/data/weather/uk/ukcp18/science-reports/UKCP18-Overview-report.pdf</w:t>
        </w:r>
      </w:hyperlink>
    </w:p>
  </w:footnote>
  <w:footnote w:id="8">
    <w:p w14:paraId="10D0AEA3" w14:textId="1A79E9E0" w:rsidR="003336FD" w:rsidRPr="00EA22CB" w:rsidRDefault="003336FD" w:rsidP="00EA22CB">
      <w:pPr>
        <w:pStyle w:val="FootnoteText"/>
      </w:pPr>
      <w:r>
        <w:rPr>
          <w:rStyle w:val="FootnoteReference"/>
        </w:rPr>
        <w:footnoteRef/>
      </w:r>
      <w:r>
        <w:t xml:space="preserve"> </w:t>
      </w:r>
      <w:r w:rsidR="00897158">
        <w:t xml:space="preserve">Edinburgh Sustainable Development Partnership (2016). Available from </w:t>
      </w:r>
      <w:hyperlink r:id="rId7" w:history="1">
        <w:r w:rsidR="005E48DE" w:rsidRPr="00F00AE2">
          <w:rPr>
            <w:rStyle w:val="Hyperlink"/>
          </w:rPr>
          <w:t>https://www.edinburgh.gov.uk/downloads/file/24705/edinburgh-adapts-our-vision-2016-to-2050</w:t>
        </w:r>
      </w:hyperlink>
    </w:p>
  </w:footnote>
  <w:footnote w:id="9">
    <w:p w14:paraId="2A4918D1" w14:textId="2E01301D" w:rsidR="00F211C4" w:rsidRDefault="00F211C4" w:rsidP="005E48DE">
      <w:pPr>
        <w:pStyle w:val="FootnoteText"/>
        <w:spacing w:after="0"/>
      </w:pPr>
      <w:r>
        <w:rPr>
          <w:rStyle w:val="FootnoteReference"/>
        </w:rPr>
        <w:footnoteRef/>
      </w:r>
      <w:r w:rsidR="005E48DE">
        <w:t xml:space="preserve"> Williamson, E., Sudmant, A., Gouldson, A. and Brogan, J (2020). Available from</w:t>
      </w:r>
      <w:r>
        <w:t xml:space="preserve"> </w:t>
      </w:r>
      <w:hyperlink r:id="rId8" w:history="1">
        <w:r w:rsidR="00283E64" w:rsidRPr="00F00AE2">
          <w:rPr>
            <w:rStyle w:val="Hyperlink"/>
          </w:rPr>
          <w:t>https://www.researchgate.net/publication/349769809_A_Net-Zero_Carbon_Roadmap_for_Edinburgh</w:t>
        </w:r>
      </w:hyperlink>
      <w:r w:rsidR="00283E64">
        <w:t xml:space="preserve"> </w:t>
      </w:r>
    </w:p>
  </w:footnote>
  <w:footnote w:id="10">
    <w:p w14:paraId="4983893E" w14:textId="4A9FAB76" w:rsidR="00283E64" w:rsidRDefault="00283E64">
      <w:pPr>
        <w:pStyle w:val="FootnoteText"/>
      </w:pPr>
      <w:r>
        <w:rPr>
          <w:rStyle w:val="FootnoteReference"/>
        </w:rPr>
        <w:footnoteRef/>
      </w:r>
      <w:r>
        <w:t xml:space="preserve"> Williamson, E., Sudmant, A., Gouldson, A. and Brogan, J (2020). Available from </w:t>
      </w:r>
      <w:hyperlink r:id="rId9" w:history="1">
        <w:r w:rsidRPr="00F00AE2">
          <w:rPr>
            <w:rStyle w:val="Hyperlink"/>
          </w:rPr>
          <w:t>https://www.researchgate.net/publication/349769809_A_Net-Zero_Carbon_Roadmap_for_Edinburgh</w:t>
        </w:r>
      </w:hyperlink>
      <w:r>
        <w:t xml:space="preserve"> </w:t>
      </w:r>
    </w:p>
  </w:footnote>
  <w:footnote w:id="11">
    <w:p w14:paraId="726C0BF7" w14:textId="3422907A" w:rsidR="000328FC" w:rsidRDefault="000328FC" w:rsidP="000328FC">
      <w:pPr>
        <w:pStyle w:val="FootnoteText"/>
        <w:rPr>
          <w:rFonts w:ascii="Jacobs Chronos" w:hAnsi="Jacobs Chronos" w:cs="Jacobs Chronos"/>
        </w:rPr>
      </w:pPr>
      <w:r>
        <w:rPr>
          <w:rStyle w:val="FootnoteReference"/>
        </w:rPr>
        <w:footnoteRef/>
      </w:r>
      <w:r>
        <w:t xml:space="preserve"> The James Hutton Institute</w:t>
      </w:r>
      <w:r w:rsidR="00E60A61">
        <w:t xml:space="preserve"> (2019). </w:t>
      </w:r>
      <w:r>
        <w:t xml:space="preserve">Available </w:t>
      </w:r>
      <w:r w:rsidR="00E60A61">
        <w:t>from</w:t>
      </w:r>
      <w:r>
        <w:t xml:space="preserve"> </w:t>
      </w:r>
      <w:hyperlink r:id="rId10" w:history="1">
        <w:r>
          <w:rPr>
            <w:rStyle w:val="Hyperlink"/>
          </w:rPr>
          <w:t>https://www.hutton.ac.uk/learning/natural-resource-datasets/soilshutton/soils-maps-scotland/download</w:t>
        </w:r>
      </w:hyperlink>
    </w:p>
  </w:footnote>
  <w:footnote w:id="12">
    <w:p w14:paraId="7953B3B2" w14:textId="21151412" w:rsidR="003336FD" w:rsidRPr="005D1208" w:rsidRDefault="003336FD" w:rsidP="003336FD">
      <w:pPr>
        <w:pStyle w:val="FootnoteText"/>
        <w:rPr>
          <w:lang w:val="en-US"/>
        </w:rPr>
      </w:pPr>
      <w:r>
        <w:rPr>
          <w:rStyle w:val="FootnoteReference"/>
        </w:rPr>
        <w:footnoteRef/>
      </w:r>
      <w:r w:rsidR="00E60A61">
        <w:t xml:space="preserve">The City of Edinburgh Council (2021). Available from </w:t>
      </w:r>
      <w:hyperlink r:id="rId11" w:history="1">
        <w:r w:rsidR="00E60A61" w:rsidRPr="00F00AE2">
          <w:rPr>
            <w:rStyle w:val="Hyperlink"/>
          </w:rPr>
          <w:t>https://consultationhub.edinburgh.gov.uk/sfc/choicesforcityplan2030/user_uploads/choices_for_city_plan_2030___city_plan_environmental_report___january_2020.pdf</w:t>
        </w:r>
      </w:hyperlink>
      <w:r w:rsidR="00E60A61">
        <w:t xml:space="preserve"> </w:t>
      </w:r>
      <w:r>
        <w:t xml:space="preserve"> </w:t>
      </w:r>
    </w:p>
  </w:footnote>
  <w:footnote w:id="13">
    <w:p w14:paraId="5E2CA74A" w14:textId="335C0624" w:rsidR="003336FD" w:rsidRPr="005D1208" w:rsidRDefault="003336FD" w:rsidP="003336FD">
      <w:pPr>
        <w:pStyle w:val="FootnoteText"/>
        <w:rPr>
          <w:lang w:val="en-US"/>
        </w:rPr>
      </w:pPr>
      <w:r>
        <w:rPr>
          <w:rStyle w:val="FootnoteReference"/>
        </w:rPr>
        <w:footnoteRef/>
      </w:r>
      <w:r>
        <w:t xml:space="preserve"> </w:t>
      </w:r>
      <w:r w:rsidR="00E60A61">
        <w:t>The City of Edinburgh Council (201</w:t>
      </w:r>
      <w:r w:rsidR="00CD04B7">
        <w:t>7</w:t>
      </w:r>
      <w:r w:rsidR="00E60A61">
        <w:t xml:space="preserve">). Available from </w:t>
      </w:r>
      <w:hyperlink r:id="rId12" w:history="1">
        <w:r w:rsidR="00142EAC" w:rsidRPr="00C07C74">
          <w:rPr>
            <w:rStyle w:val="Hyperlink"/>
          </w:rPr>
          <w:t>https://www.gov.scot/publications/maps-of-vacant-and-derelict-land-in-edinburgh/</w:t>
        </w:r>
      </w:hyperlink>
      <w:r w:rsidR="00142EAC">
        <w:t xml:space="preserve"> </w:t>
      </w:r>
      <w:r w:rsidR="00283E64" w:rsidRPr="00283E64" w:rsidDel="00283E64">
        <w:t xml:space="preserve"> </w:t>
      </w:r>
    </w:p>
  </w:footnote>
  <w:footnote w:id="14">
    <w:p w14:paraId="5E4C3E79" w14:textId="77777777" w:rsidR="00AD5779" w:rsidRDefault="00AD5779" w:rsidP="00AD5779">
      <w:pPr>
        <w:pStyle w:val="FootnoteText"/>
      </w:pPr>
      <w:r>
        <w:rPr>
          <w:rStyle w:val="FootnoteReference"/>
        </w:rPr>
        <w:footnoteRef/>
      </w:r>
      <w:r>
        <w:t xml:space="preserve"> SEPA (2022). Forth Estuary Local Plan District. Available at: </w:t>
      </w:r>
      <w:hyperlink r:id="rId13" w:history="1">
        <w:r w:rsidRPr="002F5440">
          <w:rPr>
            <w:rStyle w:val="Hyperlink"/>
          </w:rPr>
          <w:t>https://www2.sepa.org.uk/frmstrategies/forth-estuary.html</w:t>
        </w:r>
      </w:hyperlink>
      <w:r>
        <w:t xml:space="preserve"> </w:t>
      </w:r>
    </w:p>
  </w:footnote>
  <w:footnote w:id="15">
    <w:p w14:paraId="72262F0A" w14:textId="37948CAA" w:rsidR="000328FC" w:rsidRDefault="000328FC" w:rsidP="000328FC">
      <w:pPr>
        <w:pStyle w:val="FootnoteText"/>
        <w:rPr>
          <w:rFonts w:ascii="Jacobs Chronos" w:hAnsi="Jacobs Chronos" w:cs="Jacobs Chronos"/>
          <w:sz w:val="15"/>
          <w:lang w:eastAsia="en-US"/>
        </w:rPr>
      </w:pPr>
      <w:r>
        <w:rPr>
          <w:rStyle w:val="FootnoteReference"/>
        </w:rPr>
        <w:footnoteRef/>
      </w:r>
      <w:r>
        <w:t xml:space="preserve"> The City of Edinburgh Council</w:t>
      </w:r>
      <w:r w:rsidR="00E60A61">
        <w:t xml:space="preserve"> (</w:t>
      </w:r>
      <w:r>
        <w:t>2016</w:t>
      </w:r>
      <w:r w:rsidR="00E60A61">
        <w:t>).</w:t>
      </w:r>
      <w:r>
        <w:t xml:space="preserve"> </w:t>
      </w:r>
      <w:r w:rsidR="00E60A61">
        <w:t xml:space="preserve">Available from </w:t>
      </w:r>
      <w:hyperlink r:id="rId14" w:history="1">
        <w:r>
          <w:rPr>
            <w:rStyle w:val="Hyperlink"/>
          </w:rPr>
          <w:t>http://www.edinburgh.gov.uk/info/20006/emergencies_safety_and_crime/1433/flood_risk_management_plan</w:t>
        </w:r>
      </w:hyperlink>
    </w:p>
  </w:footnote>
  <w:footnote w:id="16">
    <w:p w14:paraId="1DABB2C1" w14:textId="77777777" w:rsidR="001B4041" w:rsidRPr="00E60A61" w:rsidRDefault="001B4041" w:rsidP="001B4041">
      <w:pPr>
        <w:pStyle w:val="FootnoteText"/>
        <w:rPr>
          <w:color w:val="000000"/>
          <w:u w:val="single"/>
        </w:rPr>
      </w:pPr>
      <w:r>
        <w:rPr>
          <w:rStyle w:val="FootnoteReference"/>
        </w:rPr>
        <w:footnoteRef/>
      </w:r>
      <w:r>
        <w:t xml:space="preserve"> SEPA (2015). Available from </w:t>
      </w:r>
      <w:hyperlink r:id="rId15" w:history="1">
        <w:r w:rsidRPr="00F00AE2">
          <w:rPr>
            <w:rStyle w:val="Hyperlink"/>
          </w:rPr>
          <w:t>https://www.sepa.org.uk/data-visualisation/water-classification-hub</w:t>
        </w:r>
      </w:hyperlink>
      <w:r>
        <w:t xml:space="preserve"> </w:t>
      </w:r>
    </w:p>
  </w:footnote>
  <w:footnote w:id="17">
    <w:p w14:paraId="22921CD0" w14:textId="77777777" w:rsidR="001B4041" w:rsidRDefault="001B4041" w:rsidP="001B4041">
      <w:pPr>
        <w:pStyle w:val="FootnoteText"/>
      </w:pPr>
      <w:r>
        <w:rPr>
          <w:rStyle w:val="FootnoteReference"/>
        </w:rPr>
        <w:footnoteRef/>
      </w:r>
      <w:r>
        <w:t xml:space="preserve"> The City of Edinburgh Council (2021). Available from </w:t>
      </w:r>
      <w:hyperlink r:id="rId16" w:anchor=":~:text=Our%20vision%20is%3B,respecting%20our%20unique%20historic%20heritage" w:history="1">
        <w:r w:rsidRPr="00D66084">
          <w:rPr>
            <w:rStyle w:val="Hyperlink"/>
          </w:rPr>
          <w:t>https://www.edinburgh.gov.uk/downloads/file/30101/vision-for-water-management-in-the-city-of-edinburgh#:~:text=Our%20vision%20is%3B,respecting%20our%20unique%20historic%20heritage</w:t>
        </w:r>
      </w:hyperlink>
      <w:r w:rsidRPr="000C5F5A">
        <w:t>.</w:t>
      </w:r>
      <w:r>
        <w:t xml:space="preserve"> </w:t>
      </w:r>
    </w:p>
  </w:footnote>
  <w:footnote w:id="18">
    <w:p w14:paraId="01F92057" w14:textId="6B56889A" w:rsidR="003336FD" w:rsidRPr="00014982" w:rsidRDefault="003336FD" w:rsidP="003336FD">
      <w:pPr>
        <w:pStyle w:val="FootnoteText"/>
        <w:rPr>
          <w:lang w:val="en-US"/>
        </w:rPr>
      </w:pPr>
      <w:r>
        <w:rPr>
          <w:rStyle w:val="FootnoteReference"/>
        </w:rPr>
        <w:footnoteRef/>
      </w:r>
      <w:r w:rsidR="00E60A61">
        <w:t xml:space="preserve"> The City of Edinburgh Council (2016). Available from</w:t>
      </w:r>
      <w:r>
        <w:t xml:space="preserve"> </w:t>
      </w:r>
      <w:hyperlink r:id="rId17" w:history="1">
        <w:r w:rsidR="00283E64" w:rsidRPr="00F00AE2">
          <w:rPr>
            <w:rStyle w:val="Hyperlink"/>
          </w:rPr>
          <w:t>https://www.edinburgh.gov.uk/downloads/file/22616/open-space-2021</w:t>
        </w:r>
      </w:hyperlink>
      <w:r w:rsidR="00283E64">
        <w:t xml:space="preserve"> </w:t>
      </w:r>
    </w:p>
  </w:footnote>
  <w:footnote w:id="19">
    <w:p w14:paraId="31DB6DD9" w14:textId="6E43D6CA" w:rsidR="002317EC" w:rsidRDefault="002317EC">
      <w:pPr>
        <w:pStyle w:val="FootnoteText"/>
      </w:pPr>
      <w:r>
        <w:rPr>
          <w:rStyle w:val="FootnoteReference"/>
        </w:rPr>
        <w:footnoteRef/>
      </w:r>
      <w:r>
        <w:t xml:space="preserve"> </w:t>
      </w:r>
      <w:r w:rsidR="00E60A61">
        <w:t xml:space="preserve">Greenspace Scotland (2012). Available from: </w:t>
      </w:r>
      <w:hyperlink r:id="rId18" w:history="1">
        <w:r w:rsidR="00E60A61" w:rsidRPr="00F00AE2">
          <w:rPr>
            <w:rStyle w:val="Hyperlink"/>
          </w:rPr>
          <w:t>https://www.nature.scot/sites/default/files/2017-06/The%20Second%20State%20of%20Scotland%27s%20Greenspace%20Report%20-%20greenspace%20scotland%20-%20Jan%202012.pdf</w:t>
        </w:r>
      </w:hyperlink>
      <w:r>
        <w:t xml:space="preserve"> </w:t>
      </w:r>
    </w:p>
  </w:footnote>
  <w:footnote w:id="20">
    <w:p w14:paraId="3A4B47D6" w14:textId="77777777" w:rsidR="00F70F3D" w:rsidRDefault="00F70F3D" w:rsidP="00F70F3D">
      <w:pPr>
        <w:pStyle w:val="FootnoteText"/>
      </w:pPr>
      <w:r>
        <w:rPr>
          <w:rStyle w:val="FootnoteReference"/>
        </w:rPr>
        <w:footnoteRef/>
      </w:r>
      <w:r>
        <w:t xml:space="preserve"> East Coast Buses (2020) Lothian Network Map. Available from </w:t>
      </w:r>
      <w:r w:rsidRPr="00CE635D">
        <w:t>https://www.lothianbuses.com/wp-content/uploads/2021/09/210912-LB-Network-Map.pdf</w:t>
      </w:r>
    </w:p>
  </w:footnote>
  <w:footnote w:id="21">
    <w:p w14:paraId="750FA56B" w14:textId="77777777" w:rsidR="00F70F3D" w:rsidRDefault="00F70F3D" w:rsidP="00F70F3D">
      <w:pPr>
        <w:pStyle w:val="FootnoteText"/>
      </w:pPr>
      <w:r>
        <w:rPr>
          <w:rStyle w:val="FootnoteReference"/>
        </w:rPr>
        <w:footnoteRef/>
      </w:r>
      <w:r>
        <w:t xml:space="preserve"> The City of Edinburgh Council (2022) Cycling and Walking Routes Maps. Available from </w:t>
      </w:r>
      <w:r w:rsidRPr="00DE7CFF">
        <w:t>https://www.edinburgh.gov.uk/cycling-walking/explore-quietroutes/1</w:t>
      </w:r>
    </w:p>
  </w:footnote>
  <w:footnote w:id="22">
    <w:p w14:paraId="744A016A" w14:textId="77777777" w:rsidR="00F70F3D" w:rsidRDefault="00F70F3D" w:rsidP="00F70F3D">
      <w:pPr>
        <w:pStyle w:val="FootnoteText"/>
      </w:pPr>
      <w:r>
        <w:rPr>
          <w:rStyle w:val="FootnoteReference"/>
        </w:rPr>
        <w:footnoteRef/>
      </w:r>
      <w:r>
        <w:t xml:space="preserve"> SEPA (2016). Available from: </w:t>
      </w:r>
      <w:hyperlink r:id="rId19" w:history="1">
        <w:r w:rsidRPr="00592255">
          <w:rPr>
            <w:rStyle w:val="Hyperlink"/>
          </w:rPr>
          <w:t>https://www.sepa.org.uk/media/219432/lups-sea-gu4-consideration-of-material-assets-in-sea.pdf</w:t>
        </w:r>
      </w:hyperlink>
      <w:r>
        <w:t xml:space="preserve"> </w:t>
      </w:r>
    </w:p>
  </w:footnote>
  <w:footnote w:id="23">
    <w:p w14:paraId="56252FF9" w14:textId="77777777" w:rsidR="00F70F3D" w:rsidRDefault="00F70F3D" w:rsidP="00F70F3D">
      <w:pPr>
        <w:pStyle w:val="FootnoteText"/>
      </w:pPr>
      <w:r>
        <w:rPr>
          <w:rStyle w:val="FootnoteReference"/>
        </w:rPr>
        <w:footnoteRef/>
      </w:r>
      <w:r>
        <w:t xml:space="preserve"> The James Hutton Institute (2019). Available from: </w:t>
      </w:r>
      <w:hyperlink r:id="rId20" w:history="1">
        <w:r>
          <w:rPr>
            <w:rStyle w:val="Hyperlink"/>
          </w:rPr>
          <w:t>https://www.hutton.ac.uk/learning/natural-resource-datasets/soilshutton/soils-maps-scotland/download</w:t>
        </w:r>
      </w:hyperlink>
      <w:r>
        <w:rPr>
          <w:rStyle w:val="Hyperlink"/>
        </w:rPr>
        <w:t xml:space="preserve"> </w:t>
      </w:r>
    </w:p>
  </w:footnote>
  <w:footnote w:id="24">
    <w:p w14:paraId="24F212DE" w14:textId="7FCEA25B" w:rsidR="00FE26D5" w:rsidRDefault="00FE26D5">
      <w:pPr>
        <w:pStyle w:val="FootnoteText"/>
      </w:pPr>
      <w:r>
        <w:rPr>
          <w:rStyle w:val="FootnoteReference"/>
        </w:rPr>
        <w:footnoteRef/>
      </w:r>
      <w:r>
        <w:t xml:space="preserve"> National Records of Scotland (2022). Available from: </w:t>
      </w:r>
      <w:r w:rsidRPr="00FE26D5">
        <w:t>https://www.nrscotland.gov.uk/statistics-and-data/statistics/statistics-by-theme/population/population-estimates/mid-year-population-estimates/mid-2020</w:t>
      </w:r>
    </w:p>
  </w:footnote>
  <w:footnote w:id="25">
    <w:p w14:paraId="759955A5" w14:textId="77777777" w:rsidR="000328FC" w:rsidRDefault="000328FC" w:rsidP="000328FC">
      <w:pPr>
        <w:pStyle w:val="FootnoteText"/>
      </w:pPr>
      <w:r>
        <w:rPr>
          <w:rStyle w:val="FootnoteReference"/>
        </w:rPr>
        <w:footnoteRef/>
      </w:r>
      <w:r>
        <w:t xml:space="preserve"> '2016-based principal population projections for 2016-2041, by sex, council area and single year of age’, National Records of Scotland (2018)</w:t>
      </w:r>
    </w:p>
  </w:footnote>
  <w:footnote w:id="26">
    <w:p w14:paraId="2E457012" w14:textId="0E2A3357" w:rsidR="003336FD" w:rsidRPr="00A80D0A" w:rsidRDefault="003336FD" w:rsidP="003336FD">
      <w:pPr>
        <w:pStyle w:val="FootnoteText"/>
        <w:rPr>
          <w:lang w:val="en-US"/>
        </w:rPr>
      </w:pPr>
      <w:r>
        <w:rPr>
          <w:rStyle w:val="FootnoteReference"/>
        </w:rPr>
        <w:footnoteRef/>
      </w:r>
      <w:r>
        <w:t xml:space="preserve"> </w:t>
      </w:r>
      <w:r w:rsidR="00E60A61">
        <w:t xml:space="preserve">City of Edinburgh Council (2021). Available from </w:t>
      </w:r>
      <w:hyperlink r:id="rId21" w:history="1">
        <w:r w:rsidR="00E60A61" w:rsidRPr="00F00AE2">
          <w:rPr>
            <w:rStyle w:val="Hyperlink"/>
          </w:rPr>
          <w:t>https://www.nrscotland.gov.uk/files/statistics/council-area-data-sheets/city-of-edinburgh-council-profile.html</w:t>
        </w:r>
      </w:hyperlink>
      <w:r>
        <w:t xml:space="preserve"> </w:t>
      </w:r>
    </w:p>
  </w:footnote>
  <w:footnote w:id="27">
    <w:p w14:paraId="0C44ACFD" w14:textId="4396B59D" w:rsidR="003336FD" w:rsidRPr="005C7E9D" w:rsidRDefault="003336FD" w:rsidP="003336FD">
      <w:pPr>
        <w:pStyle w:val="FootnoteText"/>
        <w:rPr>
          <w:lang w:val="en-US"/>
        </w:rPr>
      </w:pPr>
      <w:r>
        <w:rPr>
          <w:rStyle w:val="FootnoteReference"/>
        </w:rPr>
        <w:footnoteRef/>
      </w:r>
      <w:r w:rsidR="00E60A61">
        <w:t xml:space="preserve"> Edinburgh Health and Social Care Partnership (2022). Available from</w:t>
      </w:r>
      <w:r>
        <w:t xml:space="preserve"> </w:t>
      </w:r>
      <w:hyperlink r:id="rId22" w:anchor=":~:text=Key%20points%20include%3A-,The%20population%20of%20Edinburgh%20in%20mid%2D2019%20was%20estimated%20to,of%20the%20population%20are%2065%2B" w:history="1">
        <w:r w:rsidRPr="006A05C4">
          <w:rPr>
            <w:rStyle w:val="Hyperlink"/>
          </w:rPr>
          <w:t>https://www.edinburghhsc.scot/the-ijb/jsna/populationanddemographics/#:~:text=Key%20points%20include%3A-,The%20population%20of%20Edinburgh%20in%20mid%2D2019%20was%20estimated%20to,of%20the%20population%20are%2065%2B</w:t>
        </w:r>
      </w:hyperlink>
      <w:r>
        <w:t xml:space="preserve"> </w:t>
      </w:r>
    </w:p>
  </w:footnote>
  <w:footnote w:id="28">
    <w:p w14:paraId="6EA62D63" w14:textId="77777777" w:rsidR="007C5275" w:rsidRDefault="007C5275" w:rsidP="007C5275">
      <w:pPr>
        <w:pStyle w:val="FootnoteText"/>
        <w:rPr>
          <w:rFonts w:ascii="Jacobs Chronos" w:hAnsi="Jacobs Chronos" w:cs="Jacobs Chronos"/>
        </w:rPr>
      </w:pPr>
      <w:r>
        <w:rPr>
          <w:rStyle w:val="FootnoteReference"/>
        </w:rPr>
        <w:footnoteRef/>
      </w:r>
      <w:r>
        <w:t xml:space="preserve"> The Control of Major Accident Hazards (COMAH) Regulations 2015</w:t>
      </w:r>
    </w:p>
  </w:footnote>
  <w:footnote w:id="29">
    <w:p w14:paraId="780738F4" w14:textId="35CE9E42" w:rsidR="003336FD" w:rsidRPr="00745B24" w:rsidRDefault="003336FD" w:rsidP="003336FD">
      <w:pPr>
        <w:pStyle w:val="FootnoteText"/>
        <w:rPr>
          <w:lang w:val="en-US"/>
        </w:rPr>
      </w:pPr>
      <w:r>
        <w:rPr>
          <w:rStyle w:val="FootnoteReference"/>
        </w:rPr>
        <w:footnoteRef/>
      </w:r>
      <w:r>
        <w:t xml:space="preserve"> </w:t>
      </w:r>
      <w:r w:rsidR="00E60A61">
        <w:t xml:space="preserve">The City of Edinburgh Council (2022). Available from </w:t>
      </w:r>
      <w:hyperlink r:id="rId23" w:history="1">
        <w:r w:rsidR="00CD04B7" w:rsidRPr="00F00AE2">
          <w:rPr>
            <w:rStyle w:val="Hyperlink"/>
          </w:rPr>
          <w:t>https://www.edinburgh.gov.uk/conservation-2/listed-buildings/1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14693" w14:textId="77777777" w:rsidR="00372B54" w:rsidRDefault="00372B54" w:rsidP="002A0C7E">
    <w:r>
      <w:rPr>
        <w:noProof/>
      </w:rPr>
      <w:drawing>
        <wp:inline distT="0" distB="0" distL="0" distR="0" wp14:anchorId="5CD386A1" wp14:editId="39E0A93A">
          <wp:extent cx="1371600" cy="32110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cobs_logo_rgb_BL.emf"/>
                  <pic:cNvPicPr/>
                </pic:nvPicPr>
                <pic:blipFill>
                  <a:blip r:embed="rId1">
                    <a:extLst>
                      <a:ext uri="{28A0092B-C50C-407E-A947-70E740481C1C}">
                        <a14:useLocalDpi xmlns:a14="http://schemas.microsoft.com/office/drawing/2010/main" val="0"/>
                      </a:ext>
                    </a:extLst>
                  </a:blip>
                  <a:stretch>
                    <a:fillRect/>
                  </a:stretch>
                </pic:blipFill>
                <pic:spPr>
                  <a:xfrm>
                    <a:off x="0" y="0"/>
                    <a:ext cx="1371600" cy="32110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453E8" w14:textId="3D78CE5B" w:rsidR="00372B54" w:rsidRDefault="00A30B01" w:rsidP="000328FC">
    <w:pPr>
      <w:pStyle w:val="Header"/>
      <w:tabs>
        <w:tab w:val="left" w:pos="3829"/>
        <w:tab w:val="left" w:pos="4150"/>
      </w:tabs>
      <w:jc w:val="right"/>
    </w:pPr>
    <w:r>
      <w:rPr>
        <w:noProof/>
      </w:rPr>
      <w:drawing>
        <wp:inline distT="0" distB="0" distL="0" distR="0" wp14:anchorId="7AC8EEA2" wp14:editId="0977B185">
          <wp:extent cx="1978152" cy="457200"/>
          <wp:effectExtent l="0" t="0" r="3175" b="0"/>
          <wp:docPr id="6" name="Picture 6" descr="Brand Cover Logo"/>
          <wp:cNvGraphicFramePr/>
          <a:graphic xmlns:a="http://schemas.openxmlformats.org/drawingml/2006/main">
            <a:graphicData uri="http://schemas.openxmlformats.org/drawingml/2006/picture">
              <pic:pic xmlns:pic="http://schemas.openxmlformats.org/drawingml/2006/picture">
                <pic:nvPicPr>
                  <pic:cNvPr id="6" name="Picture 6" descr="Brand Cover Logo"/>
                  <pic:cNvPicPr/>
                </pic:nvPicPr>
                <pic:blipFill>
                  <a:blip r:embed="rId1">
                    <a:extLst>
                      <a:ext uri="{28A0092B-C50C-407E-A947-70E740481C1C}">
                        <a14:useLocalDpi xmlns:a14="http://schemas.microsoft.com/office/drawing/2010/main" val="0"/>
                      </a:ext>
                    </a:extLst>
                  </a:blip>
                  <a:stretch>
                    <a:fillRect/>
                  </a:stretch>
                </pic:blipFill>
                <pic:spPr>
                  <a:xfrm>
                    <a:off x="0" y="0"/>
                    <a:ext cx="1978152" cy="457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026"/>
    </w:tblGrid>
    <w:tr w:rsidR="00704ADC" w14:paraId="7B2F4A38" w14:textId="77777777" w:rsidTr="003D4237">
      <w:trPr>
        <w:trHeight w:val="851"/>
      </w:trPr>
      <w:tc>
        <w:tcPr>
          <w:tcW w:w="5000" w:type="pct"/>
          <w:tcMar>
            <w:left w:w="0" w:type="dxa"/>
          </w:tcMar>
          <w:vAlign w:val="bottom"/>
        </w:tcPr>
        <w:p w14:paraId="7BFEDB48" w14:textId="44B24728" w:rsidR="00704ADC" w:rsidRPr="00934315" w:rsidRDefault="006152E5" w:rsidP="000328FC">
          <w:pPr>
            <w:pStyle w:val="Header"/>
          </w:pPr>
          <w:sdt>
            <w:sdtPr>
              <w:alias w:val="Document title"/>
              <w:tag w:val="Document title"/>
              <w:id w:val="332272327"/>
              <w:placeholder>
                <w:docPart w:val="AE8CE385582742EEA6234D8A2E696619"/>
              </w:placeholder>
              <w:dataBinding w:xpath="/*[local-name()='root']/*[local-name()='DocumentTitle']" w:storeItemID="{8F33FB8F-8118-4915-86A8-F93B7C2B254E}"/>
              <w:text/>
            </w:sdtPr>
            <w:sdtEndPr/>
            <w:sdtContent>
              <w:r w:rsidR="008B6F19">
                <w:t>Strategic Environmental Assessment Environmental Report</w:t>
              </w:r>
              <w:r w:rsidR="00BD693B">
                <w:t xml:space="preserve"> Appendix A</w:t>
              </w:r>
            </w:sdtContent>
          </w:sdt>
        </w:p>
      </w:tc>
    </w:tr>
  </w:tbl>
  <w:p w14:paraId="603F4A4A" w14:textId="37C4E3FD" w:rsidR="00704ADC" w:rsidRPr="00E52712" w:rsidRDefault="00704ADC" w:rsidP="000328FC">
    <w:pPr>
      <w:pStyle w:val="Header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3EA8"/>
    <w:multiLevelType w:val="multilevel"/>
    <w:tmpl w:val="F5124A34"/>
    <w:numStyleLink w:val="JacobsTableNumbersList"/>
  </w:abstractNum>
  <w:abstractNum w:abstractNumId="1" w15:restartNumberingAfterBreak="0">
    <w:nsid w:val="04A262C1"/>
    <w:multiLevelType w:val="multilevel"/>
    <w:tmpl w:val="2DE4E372"/>
    <w:styleLink w:val="JacobsSequential111Format"/>
    <w:lvl w:ilvl="0">
      <w:start w:val="1"/>
      <w:numFmt w:val="decimal"/>
      <w:lvlText w:val="%1."/>
      <w:lvlJc w:val="left"/>
      <w:pPr>
        <w:ind w:left="1134" w:hanging="1134"/>
      </w:pPr>
      <w:rPr>
        <w:rFonts w:ascii="Jacobs Chronos" w:hAnsi="Jacobs Chronos" w:hint="default"/>
        <w:b/>
        <w:i w:val="0"/>
        <w:sz w:val="32"/>
      </w:rPr>
    </w:lvl>
    <w:lvl w:ilvl="1">
      <w:start w:val="1"/>
      <w:numFmt w:val="decimal"/>
      <w:lvlText w:val="%1.%2"/>
      <w:lvlJc w:val="left"/>
      <w:pPr>
        <w:ind w:left="1134" w:hanging="1134"/>
      </w:pPr>
      <w:rPr>
        <w:rFonts w:ascii="Jacobs Chronos" w:hAnsi="Jacobs Chronos" w:hint="default"/>
        <w:b/>
        <w:i w:val="0"/>
        <w:sz w:val="30"/>
      </w:rPr>
    </w:lvl>
    <w:lvl w:ilvl="2">
      <w:start w:val="1"/>
      <w:numFmt w:val="decimal"/>
      <w:lvlRestart w:val="1"/>
      <w:lvlText w:val="%1.%2.%3"/>
      <w:lvlJc w:val="left"/>
      <w:pPr>
        <w:ind w:left="1134" w:hanging="1134"/>
      </w:pPr>
      <w:rPr>
        <w:rFonts w:ascii="Jacobs Chronos" w:hAnsi="Jacobs Chronos" w:hint="default"/>
        <w:b/>
        <w:i w:val="0"/>
        <w:sz w:val="28"/>
      </w:rPr>
    </w:lvl>
    <w:lvl w:ilvl="3">
      <w:start w:val="1"/>
      <w:numFmt w:val="decimal"/>
      <w:lvlText w:val="%1.%2.%3.%4"/>
      <w:lvlJc w:val="left"/>
      <w:pPr>
        <w:ind w:left="1134" w:hanging="1134"/>
      </w:pPr>
      <w:rPr>
        <w:rFonts w:ascii="Jacobs Chronos Light" w:hAnsi="Jacobs Chronos Light" w:hint="default"/>
        <w:b/>
        <w:i w:val="0"/>
        <w:sz w:val="26"/>
      </w:rPr>
    </w:lvl>
    <w:lvl w:ilvl="4">
      <w:start w:val="1"/>
      <w:numFmt w:val="decimal"/>
      <w:lvlText w:val="%1.%2.%3.%4.%5"/>
      <w:lvlJc w:val="left"/>
      <w:pPr>
        <w:ind w:left="1134" w:hanging="1134"/>
      </w:pPr>
      <w:rPr>
        <w:rFonts w:ascii="Jacobs Chronos Light" w:hAnsi="Jacobs Chronos Light" w:hint="default"/>
        <w:b/>
        <w:i w:val="0"/>
        <w:sz w:val="24"/>
      </w:rPr>
    </w:lvl>
    <w:lvl w:ilvl="5">
      <w:start w:val="1"/>
      <w:numFmt w:val="decimal"/>
      <w:lvlText w:val="%1.%2.%3.%4.%5.%6"/>
      <w:lvlJc w:val="left"/>
      <w:pPr>
        <w:ind w:left="1134" w:hanging="1134"/>
      </w:pPr>
      <w:rPr>
        <w:rFonts w:ascii="Jacobs Chronos Light" w:hAnsi="Jacobs Chronos Light" w:hint="default"/>
        <w:b/>
        <w:i w:val="0"/>
        <w:sz w:val="22"/>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2" w15:restartNumberingAfterBreak="0">
    <w:nsid w:val="07CE24F7"/>
    <w:multiLevelType w:val="multilevel"/>
    <w:tmpl w:val="E9E46496"/>
    <w:styleLink w:val="TableBullets"/>
    <w:lvl w:ilvl="0">
      <w:start w:val="1"/>
      <w:numFmt w:val="bullet"/>
      <w:lvlText w:val=""/>
      <w:lvlJc w:val="left"/>
      <w:pPr>
        <w:ind w:left="284" w:hanging="284"/>
      </w:pPr>
      <w:rPr>
        <w:rFonts w:ascii="Wingdings" w:hAnsi="Wingdings" w:cs="Times New Roman" w:hint="default"/>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982D84"/>
    <w:multiLevelType w:val="multilevel"/>
    <w:tmpl w:val="F5124A34"/>
    <w:styleLink w:val="JacobsTableNumbersList"/>
    <w:lvl w:ilvl="0">
      <w:start w:val="1"/>
      <w:numFmt w:val="decimal"/>
      <w:pStyle w:val="TableText1Number"/>
      <w:lvlText w:val="%1."/>
      <w:lvlJc w:val="left"/>
      <w:pPr>
        <w:ind w:left="284" w:hanging="284"/>
      </w:pPr>
      <w:rPr>
        <w:rFonts w:asciiTheme="minorHAnsi" w:hAnsiTheme="minorHAnsi" w:hint="default"/>
        <w:b w:val="0"/>
        <w:i w:val="0"/>
        <w:color w:val="auto"/>
        <w:sz w:val="18"/>
      </w:rPr>
    </w:lvl>
    <w:lvl w:ilvl="1">
      <w:start w:val="1"/>
      <w:numFmt w:val="lowerLetter"/>
      <w:pStyle w:val="TableText2Letter"/>
      <w:lvlText w:val="%2. "/>
      <w:lvlJc w:val="left"/>
      <w:pPr>
        <w:tabs>
          <w:tab w:val="num" w:pos="284"/>
        </w:tabs>
        <w:ind w:left="567" w:hanging="283"/>
      </w:pPr>
      <w:rPr>
        <w:rFonts w:asciiTheme="minorHAnsi" w:hAnsiTheme="minorHAnsi" w:hint="default"/>
        <w:b w:val="0"/>
        <w:i w:val="0"/>
        <w:color w:val="auto"/>
        <w:sz w:val="18"/>
      </w:rPr>
    </w:lvl>
    <w:lvl w:ilvl="2">
      <w:start w:val="1"/>
      <w:numFmt w:val="lowerRoman"/>
      <w:pStyle w:val="TableText3Roman"/>
      <w:lvlText w:val="%3"/>
      <w:lvlJc w:val="left"/>
      <w:pPr>
        <w:tabs>
          <w:tab w:val="num" w:pos="567"/>
        </w:tabs>
        <w:ind w:left="851" w:hanging="284"/>
      </w:pPr>
      <w:rPr>
        <w:rFonts w:asciiTheme="minorHAnsi" w:hAnsiTheme="minorHAnsi" w:hint="default"/>
        <w:b w:val="0"/>
        <w:i w:val="0"/>
        <w:sz w:val="18"/>
      </w:rPr>
    </w:lvl>
    <w:lvl w:ilvl="3">
      <w:start w:val="1"/>
      <w:numFmt w:val="none"/>
      <w:lvlText w:val=""/>
      <w:lvlJc w:val="left"/>
      <w:pPr>
        <w:ind w:left="0" w:firstLine="0"/>
      </w:pPr>
      <w:rPr>
        <w:rFonts w:asciiTheme="minorHAnsi" w:hAnsiTheme="minorHAnsi" w:hint="default"/>
        <w:b w:val="0"/>
        <w:i w:val="0"/>
        <w:sz w:val="20"/>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 w15:restartNumberingAfterBreak="0">
    <w:nsid w:val="0B4C097B"/>
    <w:multiLevelType w:val="multilevel"/>
    <w:tmpl w:val="6D0608D6"/>
    <w:styleLink w:val="JacobsSingleSequentialList"/>
    <w:lvl w:ilvl="0">
      <w:start w:val="1"/>
      <w:numFmt w:val="decimal"/>
      <w:lvlText w:val="%1."/>
      <w:lvlJc w:val="left"/>
      <w:pPr>
        <w:ind w:left="851" w:hanging="851"/>
      </w:pPr>
      <w:rPr>
        <w:rFonts w:asciiTheme="majorHAnsi" w:hAnsiTheme="majorHAnsi" w:hint="default"/>
        <w:sz w:val="20"/>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5" w15:restartNumberingAfterBreak="0">
    <w:nsid w:val="0BCE067D"/>
    <w:multiLevelType w:val="multilevel"/>
    <w:tmpl w:val="8E7A81B4"/>
    <w:styleLink w:val="JacobsParagraphLevels"/>
    <w:lvl w:ilvl="0">
      <w:start w:val="1"/>
      <w:numFmt w:val="decimal"/>
      <w:lvlText w:val="%1."/>
      <w:lvlJc w:val="left"/>
      <w:pPr>
        <w:ind w:left="357" w:hanging="357"/>
      </w:pPr>
      <w:rPr>
        <w:rFonts w:hint="default"/>
        <w:b w:val="0"/>
        <w:i w:val="0"/>
        <w:color w:val="auto"/>
        <w:sz w:val="20"/>
      </w:rPr>
    </w:lvl>
    <w:lvl w:ilvl="1">
      <w:start w:val="1"/>
      <w:numFmt w:val="lowerLetter"/>
      <w:lvlText w:val="%2."/>
      <w:lvlJc w:val="left"/>
      <w:pPr>
        <w:ind w:left="714" w:hanging="357"/>
      </w:pPr>
      <w:rPr>
        <w:rFonts w:asciiTheme="majorHAnsi" w:hAnsiTheme="majorHAnsi" w:hint="default"/>
        <w:b w:val="0"/>
        <w:i w:val="0"/>
        <w:sz w:val="20"/>
      </w:rPr>
    </w:lvl>
    <w:lvl w:ilvl="2">
      <w:start w:val="1"/>
      <w:numFmt w:val="lowerRoman"/>
      <w:lvlText w:val="%3."/>
      <w:lvlJc w:val="left"/>
      <w:pPr>
        <w:tabs>
          <w:tab w:val="num" w:pos="714"/>
        </w:tabs>
        <w:ind w:left="1072" w:hanging="358"/>
      </w:pPr>
      <w:rPr>
        <w:rFonts w:asciiTheme="majorHAnsi" w:hAnsiTheme="majorHAnsi" w:hint="default"/>
        <w:b w:val="0"/>
        <w:i w:val="0"/>
        <w:sz w:val="20"/>
      </w:rPr>
    </w:lvl>
    <w:lvl w:ilvl="3">
      <w:start w:val="1"/>
      <w:numFmt w:val="decimal"/>
      <w:lvlText w:val="%4)"/>
      <w:lvlJc w:val="left"/>
      <w:pPr>
        <w:tabs>
          <w:tab w:val="num" w:pos="1072"/>
        </w:tabs>
        <w:ind w:left="1429" w:hanging="357"/>
      </w:pPr>
      <w:rPr>
        <w:rFonts w:asciiTheme="majorHAnsi" w:hAnsiTheme="majorHAnsi" w:hint="default"/>
        <w:b w:val="0"/>
        <w:i w:val="0"/>
        <w:sz w:val="20"/>
      </w:rPr>
    </w:lvl>
    <w:lvl w:ilvl="4">
      <w:start w:val="1"/>
      <w:numFmt w:val="none"/>
      <w:lvlText w:val=""/>
      <w:lvlJc w:val="left"/>
      <w:pPr>
        <w:ind w:left="284" w:hanging="284"/>
      </w:pPr>
      <w:rPr>
        <w:rFonts w:hint="default"/>
      </w:rPr>
    </w:lvl>
    <w:lvl w:ilvl="5">
      <w:start w:val="1"/>
      <w:numFmt w:val="none"/>
      <w:lvlText w:val=" "/>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6" w15:restartNumberingAfterBreak="0">
    <w:nsid w:val="0BE73C3E"/>
    <w:multiLevelType w:val="multilevel"/>
    <w:tmpl w:val="808E483A"/>
    <w:styleLink w:val="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C832BEE"/>
    <w:multiLevelType w:val="multilevel"/>
    <w:tmpl w:val="9752981C"/>
    <w:styleLink w:val="PhotologNumberList"/>
    <w:lvl w:ilvl="0">
      <w:start w:val="1"/>
      <w:numFmt w:val="decimal"/>
      <w:suff w:val="space"/>
      <w:lvlText w:val="Photograph %1:"/>
      <w:lvlJc w:val="left"/>
      <w:pPr>
        <w:ind w:left="360" w:hanging="360"/>
      </w:pPr>
      <w:rPr>
        <w:rFonts w:asciiTheme="majorHAnsi" w:hAnsiTheme="majorHAnsi" w:hint="default"/>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09538E"/>
    <w:multiLevelType w:val="hybridMultilevel"/>
    <w:tmpl w:val="46E2C7FC"/>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9" w15:restartNumberingAfterBreak="0">
    <w:nsid w:val="0D813282"/>
    <w:multiLevelType w:val="multilevel"/>
    <w:tmpl w:val="AFE0CE1E"/>
    <w:lvl w:ilvl="0">
      <w:start w:val="1"/>
      <w:numFmt w:val="bullet"/>
      <w:pStyle w:val="CVResumeBullet"/>
      <w:lvlText w:val=""/>
      <w:lvlJc w:val="left"/>
      <w:pPr>
        <w:ind w:left="360" w:hanging="360"/>
      </w:pPr>
      <w:rPr>
        <w:rFonts w:ascii="Wingdings" w:hAnsi="Wingdings" w:hint="default"/>
        <w:color w:val="auto"/>
        <w:sz w:val="14"/>
      </w:rPr>
    </w:lvl>
    <w:lvl w:ilvl="1">
      <w:start w:val="1"/>
      <w:numFmt w:val="bullet"/>
      <w:lvlRestart w:val="0"/>
      <w:lvlText w:val=""/>
      <w:lvlJc w:val="left"/>
      <w:pPr>
        <w:ind w:left="3799" w:hanging="3601"/>
      </w:pPr>
      <w:rPr>
        <w:rFonts w:ascii="Symbol" w:hAnsi="Symbol" w:hint="default"/>
        <w:color w:val="auto"/>
      </w:rPr>
    </w:lvl>
    <w:lvl w:ilvl="2">
      <w:numFmt w:val="none"/>
      <w:lvlRestart w:val="0"/>
      <w:lvlText w:val=""/>
      <w:lvlJc w:val="left"/>
      <w:pPr>
        <w:ind w:left="3799" w:hanging="3601"/>
      </w:pPr>
      <w:rPr>
        <w:rFonts w:hint="default"/>
      </w:rPr>
    </w:lvl>
    <w:lvl w:ilvl="3">
      <w:numFmt w:val="none"/>
      <w:lvlRestart w:val="0"/>
      <w:lvlText w:val=""/>
      <w:lvlJc w:val="left"/>
      <w:pPr>
        <w:ind w:left="3799" w:hanging="3601"/>
      </w:pPr>
      <w:rPr>
        <w:rFonts w:hint="default"/>
      </w:rPr>
    </w:lvl>
    <w:lvl w:ilvl="4">
      <w:numFmt w:val="none"/>
      <w:lvlRestart w:val="0"/>
      <w:lvlText w:val=""/>
      <w:lvlJc w:val="left"/>
      <w:pPr>
        <w:ind w:left="3799" w:hanging="3601"/>
      </w:pPr>
      <w:rPr>
        <w:rFonts w:hint="default"/>
      </w:rPr>
    </w:lvl>
    <w:lvl w:ilvl="5">
      <w:numFmt w:val="none"/>
      <w:lvlRestart w:val="0"/>
      <w:lvlText w:val=""/>
      <w:lvlJc w:val="left"/>
      <w:pPr>
        <w:ind w:left="3799" w:hanging="3601"/>
      </w:pPr>
      <w:rPr>
        <w:rFonts w:hint="default"/>
      </w:rPr>
    </w:lvl>
    <w:lvl w:ilvl="6">
      <w:numFmt w:val="none"/>
      <w:lvlRestart w:val="0"/>
      <w:lvlText w:val=""/>
      <w:lvlJc w:val="left"/>
      <w:pPr>
        <w:ind w:left="3799" w:hanging="3601"/>
      </w:pPr>
      <w:rPr>
        <w:rFonts w:hint="default"/>
      </w:rPr>
    </w:lvl>
    <w:lvl w:ilvl="7">
      <w:numFmt w:val="none"/>
      <w:lvlRestart w:val="0"/>
      <w:lvlText w:val=""/>
      <w:lvlJc w:val="left"/>
      <w:pPr>
        <w:ind w:left="3799" w:hanging="3601"/>
      </w:pPr>
      <w:rPr>
        <w:rFonts w:hint="default"/>
      </w:rPr>
    </w:lvl>
    <w:lvl w:ilvl="8">
      <w:numFmt w:val="none"/>
      <w:lvlRestart w:val="0"/>
      <w:lvlText w:val=""/>
      <w:lvlJc w:val="left"/>
      <w:pPr>
        <w:ind w:left="3799" w:hanging="3601"/>
      </w:pPr>
      <w:rPr>
        <w:rFonts w:hint="default"/>
      </w:rPr>
    </w:lvl>
  </w:abstractNum>
  <w:abstractNum w:abstractNumId="10" w15:restartNumberingAfterBreak="0">
    <w:nsid w:val="0D983731"/>
    <w:multiLevelType w:val="multilevel"/>
    <w:tmpl w:val="19567D56"/>
    <w:styleLink w:val="JacobsTableNumberTitle"/>
    <w:lvl w:ilvl="0">
      <w:start w:val="1"/>
      <w:numFmt w:val="decimal"/>
      <w:lvlText w:val="Table %1: "/>
      <w:lvlJc w:val="left"/>
      <w:pPr>
        <w:ind w:left="907" w:hanging="907"/>
      </w:pPr>
      <w:rPr>
        <w:rFonts w:asciiTheme="majorHAnsi" w:hAnsiTheme="majorHAnsi"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F7C496F"/>
    <w:multiLevelType w:val="hybridMultilevel"/>
    <w:tmpl w:val="D0CCCA0E"/>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9E46AD"/>
    <w:multiLevelType w:val="multilevel"/>
    <w:tmpl w:val="0720D5DE"/>
    <w:styleLink w:val="InstructionNumbering"/>
    <w:lvl w:ilvl="0">
      <w:start w:val="1"/>
      <w:numFmt w:val="decimal"/>
      <w:pStyle w:val="InstructionNumber"/>
      <w:lvlText w:val="%1."/>
      <w:lvlJc w:val="left"/>
      <w:pPr>
        <w:ind w:left="720" w:hanging="720"/>
      </w:pPr>
      <w:rPr>
        <w:rFonts w:hint="default"/>
      </w:rPr>
    </w:lvl>
    <w:lvl w:ilvl="1">
      <w:start w:val="1"/>
      <w:numFmt w:val="bullet"/>
      <w:pStyle w:val="InstructionBullet"/>
      <w:lvlText w:val="◦"/>
      <w:lvlJc w:val="left"/>
      <w:pPr>
        <w:ind w:left="1077" w:hanging="357"/>
      </w:pPr>
      <w:rPr>
        <w:rFonts w:ascii="Calibri" w:hAnsi="Calibri" w:cs="Times New Roman" w:hint="default"/>
        <w:color w:val="231EDC"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0067A7D"/>
    <w:multiLevelType w:val="singleLevel"/>
    <w:tmpl w:val="7FAAFDB8"/>
    <w:lvl w:ilvl="0">
      <w:start w:val="1"/>
      <w:numFmt w:val="bullet"/>
      <w:pStyle w:val="TableBullet3"/>
      <w:lvlText w:val=""/>
      <w:lvlJc w:val="left"/>
      <w:pPr>
        <w:ind w:left="360" w:hanging="360"/>
      </w:pPr>
      <w:rPr>
        <w:rFonts w:ascii="Symbol" w:hAnsi="Symbol" w:hint="default"/>
        <w:sz w:val="16"/>
      </w:rPr>
    </w:lvl>
  </w:abstractNum>
  <w:abstractNum w:abstractNumId="14" w15:restartNumberingAfterBreak="0">
    <w:nsid w:val="10925DD9"/>
    <w:multiLevelType w:val="multilevel"/>
    <w:tmpl w:val="6726B982"/>
    <w:styleLink w:val="FigureNumberTitle"/>
    <w:lvl w:ilvl="0">
      <w:start w:val="1"/>
      <w:numFmt w:val="decimal"/>
      <w:lvlText w:val="Figure %1: "/>
      <w:lvlJc w:val="left"/>
      <w:pPr>
        <w:ind w:left="964" w:hanging="964"/>
      </w:pPr>
      <w:rPr>
        <w:rFonts w:asciiTheme="majorHAnsi" w:hAnsiTheme="majorHAnsi"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3624791"/>
    <w:multiLevelType w:val="hybridMultilevel"/>
    <w:tmpl w:val="7EA877F0"/>
    <w:lvl w:ilvl="0" w:tplc="843C8106">
      <w:start w:val="1"/>
      <w:numFmt w:val="bullet"/>
      <w:lvlText w:val=""/>
      <w:lvlJc w:val="left"/>
      <w:pPr>
        <w:ind w:left="1077" w:hanging="360"/>
      </w:pPr>
      <w:rPr>
        <w:rFonts w:ascii="Symbol" w:hAnsi="Symbol" w:hint="default"/>
        <w:sz w:val="16"/>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6" w15:restartNumberingAfterBreak="0">
    <w:nsid w:val="13B66F3D"/>
    <w:multiLevelType w:val="hybridMultilevel"/>
    <w:tmpl w:val="B1E40FC2"/>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A9308E"/>
    <w:multiLevelType w:val="multilevel"/>
    <w:tmpl w:val="556A30FC"/>
    <w:styleLink w:val="SingleSequentialNumbering"/>
    <w:lvl w:ilvl="0">
      <w:start w:val="1"/>
      <w:numFmt w:val="decimal"/>
      <w:pStyle w:val="SingleSequential"/>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6520CF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7F55063"/>
    <w:multiLevelType w:val="hybridMultilevel"/>
    <w:tmpl w:val="48CC3E54"/>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1B4193"/>
    <w:multiLevelType w:val="multilevel"/>
    <w:tmpl w:val="0A026A64"/>
    <w:styleLink w:val="ProjectBullets"/>
    <w:lvl w:ilvl="0">
      <w:start w:val="1"/>
      <w:numFmt w:val="bullet"/>
      <w:pStyle w:val="ProjectBullet"/>
      <w:lvlText w:val=""/>
      <w:lvlJc w:val="left"/>
      <w:pPr>
        <w:ind w:left="170" w:hanging="170"/>
      </w:pPr>
      <w:rPr>
        <w:rFonts w:ascii="Wingdings" w:hAnsi="Wingdings" w:cs="Times New Roman" w:hint="default"/>
      </w:rPr>
    </w:lvl>
    <w:lvl w:ilvl="1">
      <w:start w:val="1"/>
      <w:numFmt w:val="bullet"/>
      <w:pStyle w:val="ProjectBullet2ndLevel"/>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B594D41"/>
    <w:multiLevelType w:val="hybridMultilevel"/>
    <w:tmpl w:val="13C619DE"/>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A54DAE"/>
    <w:multiLevelType w:val="hybridMultilevel"/>
    <w:tmpl w:val="B7BE842C"/>
    <w:lvl w:ilvl="0" w:tplc="5E28B674">
      <w:start w:val="1"/>
      <w:numFmt w:val="bullet"/>
      <w:pStyle w:val="CVResumeBullet2ndLevel"/>
      <w:lvlText w:val="-"/>
      <w:lvlJc w:val="left"/>
      <w:pPr>
        <w:ind w:left="720" w:hanging="360"/>
      </w:pPr>
      <w:rPr>
        <w:rFonts w:ascii="Jacobs Chronos" w:hAnsi="Jacobs Chronos" w:hint="default"/>
        <w14:numSpacing w14:val="tabul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1E617B"/>
    <w:multiLevelType w:val="multilevel"/>
    <w:tmpl w:val="808E483A"/>
    <w:numStyleLink w:val="Headings"/>
  </w:abstractNum>
  <w:abstractNum w:abstractNumId="24" w15:restartNumberingAfterBreak="0">
    <w:nsid w:val="1C6634C9"/>
    <w:multiLevelType w:val="multilevel"/>
    <w:tmpl w:val="5462B0E8"/>
    <w:styleLink w:val="Bullets"/>
    <w:lvl w:ilvl="0">
      <w:start w:val="1"/>
      <w:numFmt w:val="bullet"/>
      <w:pStyle w:val="BulletLevel1"/>
      <w:lvlText w:val=""/>
      <w:lvlJc w:val="left"/>
      <w:pPr>
        <w:ind w:left="284" w:hanging="284"/>
      </w:pPr>
      <w:rPr>
        <w:rFonts w:ascii="Wingdings" w:hAnsi="Wingdings" w:cs="Times New Roman" w:hint="default"/>
      </w:rPr>
    </w:lvl>
    <w:lvl w:ilvl="1">
      <w:start w:val="1"/>
      <w:numFmt w:val="bullet"/>
      <w:pStyle w:val="BulletLevel2"/>
      <w:lvlText w:val="-"/>
      <w:lvlJc w:val="left"/>
      <w:pPr>
        <w:ind w:left="567" w:hanging="283"/>
      </w:pPr>
      <w:rPr>
        <w:rFonts w:ascii="Jacobs Chronos" w:hAnsi="Jacobs Chronos" w:cs="Times New Roman" w:hint="default"/>
      </w:rPr>
    </w:lvl>
    <w:lvl w:ilvl="2">
      <w:start w:val="1"/>
      <w:numFmt w:val="bullet"/>
      <w:pStyle w:val="BulletLevel3"/>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C8F4382"/>
    <w:multiLevelType w:val="multilevel"/>
    <w:tmpl w:val="096AA76A"/>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D591D7F"/>
    <w:multiLevelType w:val="multilevel"/>
    <w:tmpl w:val="DA66FA1E"/>
    <w:styleLink w:val="CapabilityBullets"/>
    <w:lvl w:ilvl="0">
      <w:start w:val="1"/>
      <w:numFmt w:val="bullet"/>
      <w:pStyle w:val="CapabilityBullet"/>
      <w:lvlText w:val=""/>
      <w:lvlJc w:val="left"/>
      <w:pPr>
        <w:ind w:left="170" w:hanging="170"/>
      </w:pPr>
      <w:rPr>
        <w:rFonts w:ascii="Wingdings" w:hAnsi="Wingdings" w:cs="Times New Roman" w:hint="default"/>
      </w:rPr>
    </w:lvl>
    <w:lvl w:ilvl="1">
      <w:start w:val="1"/>
      <w:numFmt w:val="bullet"/>
      <w:pStyle w:val="CapabilityBullet2ndLevel"/>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DBE2BFD"/>
    <w:multiLevelType w:val="multilevel"/>
    <w:tmpl w:val="531CB01E"/>
    <w:styleLink w:val="TableNumbers"/>
    <w:lvl w:ilvl="0">
      <w:start w:val="1"/>
      <w:numFmt w:val="decimal"/>
      <w:pStyle w:val="TableNumber"/>
      <w:lvlText w:val="%1."/>
      <w:lvlJc w:val="left"/>
      <w:pPr>
        <w:ind w:left="284" w:hanging="284"/>
      </w:pPr>
      <w:rPr>
        <w:rFonts w:hint="default"/>
      </w:rPr>
    </w:lvl>
    <w:lvl w:ilvl="1">
      <w:start w:val="1"/>
      <w:numFmt w:val="lowerLetter"/>
      <w:pStyle w:val="TableNumber2"/>
      <w:lvlText w:val="%2."/>
      <w:lvlJc w:val="left"/>
      <w:pPr>
        <w:ind w:left="567" w:hanging="283"/>
      </w:pPr>
      <w:rPr>
        <w:rFonts w:hint="default"/>
      </w:rPr>
    </w:lvl>
    <w:lvl w:ilvl="2">
      <w:start w:val="1"/>
      <w:numFmt w:val="lowerRoman"/>
      <w:pStyle w:val="TableNumber3"/>
      <w:lvlText w:val="%3."/>
      <w:lvlJc w:val="left"/>
      <w:pPr>
        <w:tabs>
          <w:tab w:val="num" w:pos="567"/>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79D771B"/>
    <w:multiLevelType w:val="multilevel"/>
    <w:tmpl w:val="AF42FE90"/>
    <w:styleLink w:val="REMOVE"/>
    <w:lvl w:ilvl="0">
      <w:start w:val="1"/>
      <w:numFmt w:val="decimal"/>
      <w:lvlText w:val="%1."/>
      <w:lvlJc w:val="left"/>
      <w:pPr>
        <w:ind w:left="1134" w:hanging="1134"/>
      </w:pPr>
      <w:rPr>
        <w:rFonts w:ascii="Jacobs Chronos" w:hAnsi="Jacobs Chronos" w:hint="default"/>
        <w:b/>
        <w:i w:val="0"/>
        <w:color w:val="231EDC" w:themeColor="accent1"/>
        <w:sz w:val="32"/>
      </w:rPr>
    </w:lvl>
    <w:lvl w:ilvl="1">
      <w:start w:val="1"/>
      <w:numFmt w:val="decimal"/>
      <w:lvlText w:val="%1.%2."/>
      <w:lvlJc w:val="left"/>
      <w:pPr>
        <w:ind w:left="1134" w:hanging="1134"/>
      </w:pPr>
      <w:rPr>
        <w:rFonts w:ascii="Jacobs Chronos" w:hAnsi="Jacobs Chronos" w:hint="default"/>
        <w:b/>
        <w:i w:val="0"/>
        <w:color w:val="auto"/>
        <w:sz w:val="30"/>
      </w:rPr>
    </w:lvl>
    <w:lvl w:ilvl="2">
      <w:start w:val="1"/>
      <w:numFmt w:val="decimal"/>
      <w:lvlText w:val="%3.%1.%2"/>
      <w:lvlJc w:val="left"/>
      <w:pPr>
        <w:ind w:left="1134" w:hanging="1134"/>
      </w:pPr>
      <w:rPr>
        <w:rFonts w:ascii="Jacobs Chronos" w:hAnsi="Jacobs Chronos" w:hint="default"/>
        <w:b/>
        <w:i w:val="0"/>
        <w:color w:val="auto"/>
        <w:sz w:val="28"/>
      </w:rPr>
    </w:lvl>
    <w:lvl w:ilvl="3">
      <w:start w:val="1"/>
      <w:numFmt w:val="decimal"/>
      <w:lvlText w:val="%4.%1.%2.%3"/>
      <w:lvlJc w:val="left"/>
      <w:pPr>
        <w:ind w:left="1134" w:hanging="1134"/>
      </w:pPr>
      <w:rPr>
        <w:rFonts w:ascii="Jacobs Chronos" w:hAnsi="Jacobs Chronos" w:hint="default"/>
        <w:b/>
        <w:i w:val="0"/>
        <w:color w:val="auto"/>
        <w:sz w:val="26"/>
      </w:rPr>
    </w:lvl>
    <w:lvl w:ilvl="4">
      <w:start w:val="1"/>
      <w:numFmt w:val="decimal"/>
      <w:lvlText w:val="%5.%1.%2.%3.%4"/>
      <w:lvlJc w:val="left"/>
      <w:pPr>
        <w:ind w:left="1134" w:hanging="1134"/>
      </w:pPr>
      <w:rPr>
        <w:rFonts w:ascii="Jacobs Chronos Light" w:hAnsi="Jacobs Chronos Light" w:hint="default"/>
        <w:b/>
        <w:i w:val="0"/>
        <w:color w:val="auto"/>
        <w:sz w:val="24"/>
      </w:rPr>
    </w:lvl>
    <w:lvl w:ilvl="5">
      <w:start w:val="1"/>
      <w:numFmt w:val="decimal"/>
      <w:lvlText w:val="%6.%1.%2."/>
      <w:lvlJc w:val="left"/>
      <w:pPr>
        <w:ind w:left="-32767" w:firstLine="32767"/>
      </w:pPr>
      <w:rPr>
        <w:rFonts w:ascii="Jacobs Chronos Light" w:hAnsi="Jacobs Chronos Light" w:hint="default"/>
        <w:b/>
        <w:i w:val="0"/>
        <w:color w:val="auto"/>
        <w:sz w:val="22"/>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decimal"/>
      <w:lvlText w:val="%9.%1."/>
      <w:lvlJc w:val="left"/>
      <w:pPr>
        <w:ind w:left="851" w:hanging="851"/>
      </w:pPr>
      <w:rPr>
        <w:rFonts w:hint="default"/>
      </w:rPr>
    </w:lvl>
  </w:abstractNum>
  <w:abstractNum w:abstractNumId="29" w15:restartNumberingAfterBreak="0">
    <w:nsid w:val="290B332D"/>
    <w:multiLevelType w:val="hybridMultilevel"/>
    <w:tmpl w:val="29C6155A"/>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8A213A"/>
    <w:multiLevelType w:val="hybridMultilevel"/>
    <w:tmpl w:val="2F764EF4"/>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987F12"/>
    <w:multiLevelType w:val="hybridMultilevel"/>
    <w:tmpl w:val="70BAF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9E59BA"/>
    <w:multiLevelType w:val="multilevel"/>
    <w:tmpl w:val="EBE689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37771C91"/>
    <w:multiLevelType w:val="multilevel"/>
    <w:tmpl w:val="3D86A774"/>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79467C9"/>
    <w:multiLevelType w:val="hybridMultilevel"/>
    <w:tmpl w:val="00946AA8"/>
    <w:lvl w:ilvl="0" w:tplc="B998AA9E">
      <w:start w:val="1"/>
      <w:numFmt w:val="bullet"/>
      <w:lvlText w:val=""/>
      <w:lvlJc w:val="left"/>
      <w:pPr>
        <w:ind w:left="720" w:hanging="360"/>
      </w:pPr>
      <w:rPr>
        <w:rFonts w:ascii="Symbol" w:hAnsi="Symbol" w:hint="default"/>
        <w:sz w:val="16"/>
      </w:rPr>
    </w:lvl>
    <w:lvl w:ilvl="1" w:tplc="FFD8B0BE" w:tentative="1">
      <w:start w:val="1"/>
      <w:numFmt w:val="bullet"/>
      <w:lvlText w:val="o"/>
      <w:lvlJc w:val="left"/>
      <w:pPr>
        <w:ind w:left="1440" w:hanging="360"/>
      </w:pPr>
      <w:rPr>
        <w:rFonts w:ascii="Courier New" w:hAnsi="Courier New" w:cs="Courier New" w:hint="default"/>
      </w:rPr>
    </w:lvl>
    <w:lvl w:ilvl="2" w:tplc="10724204" w:tentative="1">
      <w:start w:val="1"/>
      <w:numFmt w:val="bullet"/>
      <w:lvlText w:val=""/>
      <w:lvlJc w:val="left"/>
      <w:pPr>
        <w:ind w:left="2160" w:hanging="360"/>
      </w:pPr>
      <w:rPr>
        <w:rFonts w:ascii="Wingdings" w:hAnsi="Wingdings" w:hint="default"/>
      </w:rPr>
    </w:lvl>
    <w:lvl w:ilvl="3" w:tplc="FE12BCAC" w:tentative="1">
      <w:start w:val="1"/>
      <w:numFmt w:val="bullet"/>
      <w:lvlText w:val=""/>
      <w:lvlJc w:val="left"/>
      <w:pPr>
        <w:ind w:left="2880" w:hanging="360"/>
      </w:pPr>
      <w:rPr>
        <w:rFonts w:ascii="Symbol" w:hAnsi="Symbol" w:hint="default"/>
      </w:rPr>
    </w:lvl>
    <w:lvl w:ilvl="4" w:tplc="BDBEB896" w:tentative="1">
      <w:start w:val="1"/>
      <w:numFmt w:val="bullet"/>
      <w:lvlText w:val="o"/>
      <w:lvlJc w:val="left"/>
      <w:pPr>
        <w:ind w:left="3600" w:hanging="360"/>
      </w:pPr>
      <w:rPr>
        <w:rFonts w:ascii="Courier New" w:hAnsi="Courier New" w:cs="Courier New" w:hint="default"/>
      </w:rPr>
    </w:lvl>
    <w:lvl w:ilvl="5" w:tplc="F54C2EA4" w:tentative="1">
      <w:start w:val="1"/>
      <w:numFmt w:val="bullet"/>
      <w:lvlText w:val=""/>
      <w:lvlJc w:val="left"/>
      <w:pPr>
        <w:ind w:left="4320" w:hanging="360"/>
      </w:pPr>
      <w:rPr>
        <w:rFonts w:ascii="Wingdings" w:hAnsi="Wingdings" w:hint="default"/>
      </w:rPr>
    </w:lvl>
    <w:lvl w:ilvl="6" w:tplc="A8D0D08C" w:tentative="1">
      <w:start w:val="1"/>
      <w:numFmt w:val="bullet"/>
      <w:lvlText w:val=""/>
      <w:lvlJc w:val="left"/>
      <w:pPr>
        <w:ind w:left="5040" w:hanging="360"/>
      </w:pPr>
      <w:rPr>
        <w:rFonts w:ascii="Symbol" w:hAnsi="Symbol" w:hint="default"/>
      </w:rPr>
    </w:lvl>
    <w:lvl w:ilvl="7" w:tplc="2EE6942A" w:tentative="1">
      <w:start w:val="1"/>
      <w:numFmt w:val="bullet"/>
      <w:lvlText w:val="o"/>
      <w:lvlJc w:val="left"/>
      <w:pPr>
        <w:ind w:left="5760" w:hanging="360"/>
      </w:pPr>
      <w:rPr>
        <w:rFonts w:ascii="Courier New" w:hAnsi="Courier New" w:cs="Courier New" w:hint="default"/>
      </w:rPr>
    </w:lvl>
    <w:lvl w:ilvl="8" w:tplc="BD749432" w:tentative="1">
      <w:start w:val="1"/>
      <w:numFmt w:val="bullet"/>
      <w:lvlText w:val=""/>
      <w:lvlJc w:val="left"/>
      <w:pPr>
        <w:ind w:left="6480" w:hanging="360"/>
      </w:pPr>
      <w:rPr>
        <w:rFonts w:ascii="Wingdings" w:hAnsi="Wingdings" w:hint="default"/>
      </w:rPr>
    </w:lvl>
  </w:abstractNum>
  <w:abstractNum w:abstractNumId="35" w15:restartNumberingAfterBreak="0">
    <w:nsid w:val="39C02F23"/>
    <w:multiLevelType w:val="hybridMultilevel"/>
    <w:tmpl w:val="09E61F80"/>
    <w:lvl w:ilvl="0" w:tplc="843C8106">
      <w:start w:val="1"/>
      <w:numFmt w:val="bullet"/>
      <w:pStyle w:val="TableBullet2ndLevel"/>
      <w:lvlText w:val="-"/>
      <w:lvlJc w:val="left"/>
      <w:pPr>
        <w:ind w:left="890" w:hanging="360"/>
      </w:pPr>
      <w:rPr>
        <w:rFonts w:ascii="Jacobs Chronos" w:hAnsi="Jacobs Chrono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6" w15:restartNumberingAfterBreak="0">
    <w:nsid w:val="3B8D43F2"/>
    <w:multiLevelType w:val="multilevel"/>
    <w:tmpl w:val="DE66AD6C"/>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D912658"/>
    <w:multiLevelType w:val="multilevel"/>
    <w:tmpl w:val="E91C8E08"/>
    <w:styleLink w:val="JacobsNumberedHeadings"/>
    <w:lvl w:ilvl="0">
      <w:start w:val="1"/>
      <w:numFmt w:val="decimal"/>
      <w:lvlText w:val="%1."/>
      <w:lvlJc w:val="left"/>
      <w:pPr>
        <w:ind w:left="1134" w:hanging="1134"/>
      </w:pPr>
      <w:rPr>
        <w:rFonts w:hint="default"/>
        <w:b/>
        <w:i w:val="0"/>
        <w:sz w:val="32"/>
      </w:rPr>
    </w:lvl>
    <w:lvl w:ilvl="1">
      <w:start w:val="1"/>
      <w:numFmt w:val="decimal"/>
      <w:lvlText w:val="%1.%2"/>
      <w:lvlJc w:val="left"/>
      <w:pPr>
        <w:ind w:left="1134" w:hanging="1134"/>
      </w:pPr>
      <w:rPr>
        <w:rFonts w:asciiTheme="majorHAnsi" w:hAnsiTheme="majorHAnsi" w:hint="default"/>
        <w:b/>
        <w:i w:val="0"/>
        <w:sz w:val="28"/>
      </w:rPr>
    </w:lvl>
    <w:lvl w:ilvl="2">
      <w:start w:val="1"/>
      <w:numFmt w:val="decimal"/>
      <w:lvlRestart w:val="1"/>
      <w:lvlText w:val="%1.%2.%3"/>
      <w:lvlJc w:val="left"/>
      <w:pPr>
        <w:ind w:left="1134" w:hanging="1134"/>
      </w:pPr>
      <w:rPr>
        <w:rFonts w:asciiTheme="majorHAnsi" w:hAnsiTheme="majorHAnsi" w:hint="default"/>
        <w:b/>
        <w:i w:val="0"/>
        <w:sz w:val="26"/>
      </w:rPr>
    </w:lvl>
    <w:lvl w:ilvl="3">
      <w:start w:val="1"/>
      <w:numFmt w:val="decimal"/>
      <w:lvlText w:val="%1.%2.%3.%4"/>
      <w:lvlJc w:val="left"/>
      <w:pPr>
        <w:ind w:left="1134" w:hanging="1134"/>
      </w:pPr>
      <w:rPr>
        <w:rFonts w:asciiTheme="minorHAnsi" w:hAnsiTheme="minorHAnsi" w:hint="default"/>
        <w:b/>
        <w:i w:val="0"/>
        <w:sz w:val="24"/>
      </w:rPr>
    </w:lvl>
    <w:lvl w:ilvl="4">
      <w:start w:val="1"/>
      <w:numFmt w:val="decimal"/>
      <w:lvlText w:val="%1.%2.%3.%4.%5"/>
      <w:lvlJc w:val="left"/>
      <w:pPr>
        <w:ind w:left="1134" w:hanging="1134"/>
      </w:pPr>
      <w:rPr>
        <w:rFonts w:asciiTheme="minorHAnsi" w:hAnsiTheme="minorHAnsi" w:hint="default"/>
        <w:b/>
        <w:i w:val="0"/>
        <w:sz w:val="22"/>
      </w:rPr>
    </w:lvl>
    <w:lvl w:ilvl="5">
      <w:start w:val="1"/>
      <w:numFmt w:val="decimal"/>
      <w:lvlText w:val="%1.%2.%3.%4.%5.%6"/>
      <w:lvlJc w:val="left"/>
      <w:pPr>
        <w:ind w:left="1134" w:hanging="1134"/>
      </w:pPr>
      <w:rPr>
        <w:rFonts w:asciiTheme="minorHAnsi" w:hAnsiTheme="minorHAnsi" w:hint="default"/>
        <w:b/>
        <w:i w:val="0"/>
        <w:sz w:val="20"/>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38" w15:restartNumberingAfterBreak="0">
    <w:nsid w:val="3F107EE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12C6F17"/>
    <w:multiLevelType w:val="hybridMultilevel"/>
    <w:tmpl w:val="40E04FEA"/>
    <w:lvl w:ilvl="0" w:tplc="0D9440D6">
      <w:start w:val="1"/>
      <w:numFmt w:val="bullet"/>
      <w:lvlText w:val=""/>
      <w:lvlJc w:val="left"/>
      <w:pPr>
        <w:ind w:left="720" w:hanging="360"/>
      </w:pPr>
      <w:rPr>
        <w:rFonts w:ascii="Symbol" w:hAnsi="Symbol" w:hint="default"/>
      </w:rPr>
    </w:lvl>
    <w:lvl w:ilvl="1" w:tplc="E506A636" w:tentative="1">
      <w:start w:val="1"/>
      <w:numFmt w:val="bullet"/>
      <w:lvlText w:val="o"/>
      <w:lvlJc w:val="left"/>
      <w:pPr>
        <w:ind w:left="1440" w:hanging="360"/>
      </w:pPr>
      <w:rPr>
        <w:rFonts w:ascii="Courier New" w:hAnsi="Courier New" w:cs="Courier New" w:hint="default"/>
      </w:rPr>
    </w:lvl>
    <w:lvl w:ilvl="2" w:tplc="E200954E" w:tentative="1">
      <w:start w:val="1"/>
      <w:numFmt w:val="bullet"/>
      <w:lvlText w:val=""/>
      <w:lvlJc w:val="left"/>
      <w:pPr>
        <w:ind w:left="2160" w:hanging="360"/>
      </w:pPr>
      <w:rPr>
        <w:rFonts w:ascii="Wingdings" w:hAnsi="Wingdings" w:hint="default"/>
      </w:rPr>
    </w:lvl>
    <w:lvl w:ilvl="3" w:tplc="5452352C" w:tentative="1">
      <w:start w:val="1"/>
      <w:numFmt w:val="bullet"/>
      <w:lvlText w:val=""/>
      <w:lvlJc w:val="left"/>
      <w:pPr>
        <w:ind w:left="2880" w:hanging="360"/>
      </w:pPr>
      <w:rPr>
        <w:rFonts w:ascii="Symbol" w:hAnsi="Symbol" w:hint="default"/>
      </w:rPr>
    </w:lvl>
    <w:lvl w:ilvl="4" w:tplc="343E7D70" w:tentative="1">
      <w:start w:val="1"/>
      <w:numFmt w:val="bullet"/>
      <w:lvlText w:val="o"/>
      <w:lvlJc w:val="left"/>
      <w:pPr>
        <w:ind w:left="3600" w:hanging="360"/>
      </w:pPr>
      <w:rPr>
        <w:rFonts w:ascii="Courier New" w:hAnsi="Courier New" w:cs="Courier New" w:hint="default"/>
      </w:rPr>
    </w:lvl>
    <w:lvl w:ilvl="5" w:tplc="D8A00364" w:tentative="1">
      <w:start w:val="1"/>
      <w:numFmt w:val="bullet"/>
      <w:lvlText w:val=""/>
      <w:lvlJc w:val="left"/>
      <w:pPr>
        <w:ind w:left="4320" w:hanging="360"/>
      </w:pPr>
      <w:rPr>
        <w:rFonts w:ascii="Wingdings" w:hAnsi="Wingdings" w:hint="default"/>
      </w:rPr>
    </w:lvl>
    <w:lvl w:ilvl="6" w:tplc="970AD22E" w:tentative="1">
      <w:start w:val="1"/>
      <w:numFmt w:val="bullet"/>
      <w:lvlText w:val=""/>
      <w:lvlJc w:val="left"/>
      <w:pPr>
        <w:ind w:left="5040" w:hanging="360"/>
      </w:pPr>
      <w:rPr>
        <w:rFonts w:ascii="Symbol" w:hAnsi="Symbol" w:hint="default"/>
      </w:rPr>
    </w:lvl>
    <w:lvl w:ilvl="7" w:tplc="DFCAE9C4" w:tentative="1">
      <w:start w:val="1"/>
      <w:numFmt w:val="bullet"/>
      <w:lvlText w:val="o"/>
      <w:lvlJc w:val="left"/>
      <w:pPr>
        <w:ind w:left="5760" w:hanging="360"/>
      </w:pPr>
      <w:rPr>
        <w:rFonts w:ascii="Courier New" w:hAnsi="Courier New" w:cs="Courier New" w:hint="default"/>
      </w:rPr>
    </w:lvl>
    <w:lvl w:ilvl="8" w:tplc="94FE66D8" w:tentative="1">
      <w:start w:val="1"/>
      <w:numFmt w:val="bullet"/>
      <w:lvlText w:val=""/>
      <w:lvlJc w:val="left"/>
      <w:pPr>
        <w:ind w:left="6480" w:hanging="360"/>
      </w:pPr>
      <w:rPr>
        <w:rFonts w:ascii="Wingdings" w:hAnsi="Wingdings" w:hint="default"/>
      </w:rPr>
    </w:lvl>
  </w:abstractNum>
  <w:abstractNum w:abstractNumId="40" w15:restartNumberingAfterBreak="0">
    <w:nsid w:val="437E6C64"/>
    <w:multiLevelType w:val="hybridMultilevel"/>
    <w:tmpl w:val="03E26376"/>
    <w:lvl w:ilvl="0" w:tplc="08090001">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AB7BBD"/>
    <w:multiLevelType w:val="hybridMultilevel"/>
    <w:tmpl w:val="D144A650"/>
    <w:lvl w:ilvl="0" w:tplc="843C8106">
      <w:start w:val="1"/>
      <w:numFmt w:val="bullet"/>
      <w:pStyle w:val="TableBullet3rdLevel"/>
      <w:lvlText w:val=""/>
      <w:lvlJc w:val="left"/>
      <w:pPr>
        <w:ind w:left="700" w:hanging="360"/>
      </w:pPr>
      <w:rPr>
        <w:rFonts w:ascii="Wingdings" w:hAnsi="Wingdings"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2" w15:restartNumberingAfterBreak="0">
    <w:nsid w:val="4A85256C"/>
    <w:multiLevelType w:val="multilevel"/>
    <w:tmpl w:val="944EE040"/>
    <w:styleLink w:val="JacobsNumberedList12"/>
    <w:lvl w:ilvl="0">
      <w:start w:val="1"/>
      <w:numFmt w:val="decimal"/>
      <w:lvlText w:val="%1)"/>
      <w:lvlJc w:val="left"/>
      <w:pPr>
        <w:ind w:left="1247" w:hanging="396"/>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3" w15:restartNumberingAfterBreak="0">
    <w:nsid w:val="4AFD1650"/>
    <w:multiLevelType w:val="hybridMultilevel"/>
    <w:tmpl w:val="5FE89FA0"/>
    <w:lvl w:ilvl="0" w:tplc="A66CF67C">
      <w:start w:val="10"/>
      <w:numFmt w:val="decimal"/>
      <w:lvlText w:val="%1"/>
      <w:lvlJc w:val="left"/>
      <w:pPr>
        <w:ind w:left="720" w:hanging="360"/>
      </w:pPr>
      <w:rPr>
        <w:rFonts w:hint="default"/>
      </w:rPr>
    </w:lvl>
    <w:lvl w:ilvl="1" w:tplc="B998B37A" w:tentative="1">
      <w:start w:val="1"/>
      <w:numFmt w:val="lowerLetter"/>
      <w:lvlText w:val="%2."/>
      <w:lvlJc w:val="left"/>
      <w:pPr>
        <w:ind w:left="1440" w:hanging="360"/>
      </w:pPr>
    </w:lvl>
    <w:lvl w:ilvl="2" w:tplc="046287E6" w:tentative="1">
      <w:start w:val="1"/>
      <w:numFmt w:val="lowerRoman"/>
      <w:lvlText w:val="%3."/>
      <w:lvlJc w:val="right"/>
      <w:pPr>
        <w:ind w:left="2160" w:hanging="180"/>
      </w:pPr>
    </w:lvl>
    <w:lvl w:ilvl="3" w:tplc="091CE63E" w:tentative="1">
      <w:start w:val="1"/>
      <w:numFmt w:val="decimal"/>
      <w:lvlText w:val="%4."/>
      <w:lvlJc w:val="left"/>
      <w:pPr>
        <w:ind w:left="2880" w:hanging="360"/>
      </w:pPr>
    </w:lvl>
    <w:lvl w:ilvl="4" w:tplc="816A517E" w:tentative="1">
      <w:start w:val="1"/>
      <w:numFmt w:val="lowerLetter"/>
      <w:lvlText w:val="%5."/>
      <w:lvlJc w:val="left"/>
      <w:pPr>
        <w:ind w:left="3600" w:hanging="360"/>
      </w:pPr>
    </w:lvl>
    <w:lvl w:ilvl="5" w:tplc="BE2C5220" w:tentative="1">
      <w:start w:val="1"/>
      <w:numFmt w:val="lowerRoman"/>
      <w:lvlText w:val="%6."/>
      <w:lvlJc w:val="right"/>
      <w:pPr>
        <w:ind w:left="4320" w:hanging="180"/>
      </w:pPr>
    </w:lvl>
    <w:lvl w:ilvl="6" w:tplc="01A6936C" w:tentative="1">
      <w:start w:val="1"/>
      <w:numFmt w:val="decimal"/>
      <w:lvlText w:val="%7."/>
      <w:lvlJc w:val="left"/>
      <w:pPr>
        <w:ind w:left="5040" w:hanging="360"/>
      </w:pPr>
    </w:lvl>
    <w:lvl w:ilvl="7" w:tplc="283CEF0A" w:tentative="1">
      <w:start w:val="1"/>
      <w:numFmt w:val="lowerLetter"/>
      <w:lvlText w:val="%8."/>
      <w:lvlJc w:val="left"/>
      <w:pPr>
        <w:ind w:left="5760" w:hanging="360"/>
      </w:pPr>
    </w:lvl>
    <w:lvl w:ilvl="8" w:tplc="FBBE53E8" w:tentative="1">
      <w:start w:val="1"/>
      <w:numFmt w:val="lowerRoman"/>
      <w:lvlText w:val="%9."/>
      <w:lvlJc w:val="right"/>
      <w:pPr>
        <w:ind w:left="6480" w:hanging="180"/>
      </w:pPr>
    </w:lvl>
  </w:abstractNum>
  <w:abstractNum w:abstractNumId="44" w15:restartNumberingAfterBreak="0">
    <w:nsid w:val="4B6058FA"/>
    <w:multiLevelType w:val="multilevel"/>
    <w:tmpl w:val="562643DE"/>
    <w:styleLink w:val="JacobsAppendixHeadings"/>
    <w:lvl w:ilvl="0">
      <w:start w:val="1"/>
      <w:numFmt w:val="upperLetter"/>
      <w:lvlText w:val="Appendix %1. "/>
      <w:lvlJc w:val="left"/>
      <w:pPr>
        <w:ind w:left="1134" w:hanging="1134"/>
      </w:pPr>
      <w:rPr>
        <w:rFonts w:asciiTheme="majorHAnsi" w:hAnsiTheme="majorHAnsi" w:hint="default"/>
        <w:b/>
        <w:bCs w:val="0"/>
        <w:i w:val="0"/>
        <w:iCs w:val="0"/>
        <w:caps w:val="0"/>
        <w:smallCaps w:val="0"/>
        <w:strike w:val="0"/>
        <w:dstrike w:val="0"/>
        <w:outline w:val="0"/>
        <w:shadow w:val="0"/>
        <w:emboss w:val="0"/>
        <w:imprint w:val="0"/>
        <w:noProof w:val="0"/>
        <w:vanish w:val="0"/>
        <w:color w:val="231EDC" w:themeColor="accent1"/>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134" w:hanging="1134"/>
      </w:pPr>
      <w:rPr>
        <w:rFonts w:asciiTheme="majorHAnsi" w:hAnsiTheme="majorHAnsi" w:hint="default"/>
        <w:b/>
        <w:i w:val="0"/>
        <w:caps w:val="0"/>
        <w:strike w:val="0"/>
        <w:dstrike w:val="0"/>
        <w:vanish w:val="0"/>
        <w:color w:val="000000" w:themeColor="text1"/>
        <w:sz w:val="28"/>
        <w:vertAlign w:val="baseline"/>
      </w:rPr>
    </w:lvl>
    <w:lvl w:ilvl="2">
      <w:start w:val="1"/>
      <w:numFmt w:val="decimal"/>
      <w:lvlText w:val="%1.%2.%3"/>
      <w:lvlJc w:val="left"/>
      <w:pPr>
        <w:ind w:left="1134" w:hanging="1134"/>
      </w:pPr>
      <w:rPr>
        <w:rFonts w:asciiTheme="majorHAnsi" w:hAnsiTheme="majorHAnsi" w:hint="default"/>
        <w:b/>
        <w:i w:val="0"/>
        <w:caps w:val="0"/>
        <w:strike w:val="0"/>
        <w:dstrike w:val="0"/>
        <w:vanish w:val="0"/>
        <w:color w:val="000000" w:themeColor="text1"/>
        <w:sz w:val="24"/>
        <w:vertAlign w:val="baseline"/>
      </w:rPr>
    </w:lvl>
    <w:lvl w:ilvl="3">
      <w:start w:val="1"/>
      <w:numFmt w:val="decimal"/>
      <w:lvlText w:val="%1.%2.%3.%4"/>
      <w:lvlJc w:val="left"/>
      <w:pPr>
        <w:ind w:left="1134" w:hanging="1134"/>
      </w:pPr>
      <w:rPr>
        <w:rFonts w:asciiTheme="majorHAnsi" w:hAnsiTheme="majorHAnsi" w:hint="default"/>
        <w:b/>
        <w:i w:val="0"/>
        <w:color w:val="auto"/>
        <w:sz w:val="22"/>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45" w15:restartNumberingAfterBreak="0">
    <w:nsid w:val="4D7D6EC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6" w15:restartNumberingAfterBreak="0">
    <w:nsid w:val="54016FAD"/>
    <w:multiLevelType w:val="multilevel"/>
    <w:tmpl w:val="19567D56"/>
    <w:lvl w:ilvl="0">
      <w:numFmt w:val="decimal"/>
      <w:pStyle w:val="TableNumberandTit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6AE19DA"/>
    <w:multiLevelType w:val="multilevel"/>
    <w:tmpl w:val="F7DA1CE2"/>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8FB56D5"/>
    <w:multiLevelType w:val="multilevel"/>
    <w:tmpl w:val="556A30FC"/>
    <w:numStyleLink w:val="SingleSequentialNumbering"/>
  </w:abstractNum>
  <w:abstractNum w:abstractNumId="49" w15:restartNumberingAfterBreak="0">
    <w:nsid w:val="598A3E6E"/>
    <w:multiLevelType w:val="hybridMultilevel"/>
    <w:tmpl w:val="A4D644D8"/>
    <w:lvl w:ilvl="0" w:tplc="819470DA">
      <w:start w:val="1"/>
      <w:numFmt w:val="bullet"/>
      <w:lvlText w:val=""/>
      <w:lvlJc w:val="left"/>
      <w:pPr>
        <w:ind w:left="720" w:hanging="360"/>
      </w:pPr>
      <w:rPr>
        <w:rFonts w:ascii="Symbol" w:hAnsi="Symbol" w:hint="default"/>
        <w:sz w:val="16"/>
      </w:rPr>
    </w:lvl>
    <w:lvl w:ilvl="1" w:tplc="D8B0566E" w:tentative="1">
      <w:start w:val="1"/>
      <w:numFmt w:val="bullet"/>
      <w:lvlText w:val="o"/>
      <w:lvlJc w:val="left"/>
      <w:pPr>
        <w:ind w:left="1440" w:hanging="360"/>
      </w:pPr>
      <w:rPr>
        <w:rFonts w:ascii="Courier New" w:hAnsi="Courier New" w:cs="Courier New" w:hint="default"/>
      </w:rPr>
    </w:lvl>
    <w:lvl w:ilvl="2" w:tplc="13AC0922" w:tentative="1">
      <w:start w:val="1"/>
      <w:numFmt w:val="bullet"/>
      <w:lvlText w:val=""/>
      <w:lvlJc w:val="left"/>
      <w:pPr>
        <w:ind w:left="2160" w:hanging="360"/>
      </w:pPr>
      <w:rPr>
        <w:rFonts w:ascii="Wingdings" w:hAnsi="Wingdings" w:hint="default"/>
      </w:rPr>
    </w:lvl>
    <w:lvl w:ilvl="3" w:tplc="DAE8B264" w:tentative="1">
      <w:start w:val="1"/>
      <w:numFmt w:val="bullet"/>
      <w:lvlText w:val=""/>
      <w:lvlJc w:val="left"/>
      <w:pPr>
        <w:ind w:left="2880" w:hanging="360"/>
      </w:pPr>
      <w:rPr>
        <w:rFonts w:ascii="Symbol" w:hAnsi="Symbol" w:hint="default"/>
      </w:rPr>
    </w:lvl>
    <w:lvl w:ilvl="4" w:tplc="5AA24DC6" w:tentative="1">
      <w:start w:val="1"/>
      <w:numFmt w:val="bullet"/>
      <w:lvlText w:val="o"/>
      <w:lvlJc w:val="left"/>
      <w:pPr>
        <w:ind w:left="3600" w:hanging="360"/>
      </w:pPr>
      <w:rPr>
        <w:rFonts w:ascii="Courier New" w:hAnsi="Courier New" w:cs="Courier New" w:hint="default"/>
      </w:rPr>
    </w:lvl>
    <w:lvl w:ilvl="5" w:tplc="100E450C" w:tentative="1">
      <w:start w:val="1"/>
      <w:numFmt w:val="bullet"/>
      <w:lvlText w:val=""/>
      <w:lvlJc w:val="left"/>
      <w:pPr>
        <w:ind w:left="4320" w:hanging="360"/>
      </w:pPr>
      <w:rPr>
        <w:rFonts w:ascii="Wingdings" w:hAnsi="Wingdings" w:hint="default"/>
      </w:rPr>
    </w:lvl>
    <w:lvl w:ilvl="6" w:tplc="47B2052E" w:tentative="1">
      <w:start w:val="1"/>
      <w:numFmt w:val="bullet"/>
      <w:lvlText w:val=""/>
      <w:lvlJc w:val="left"/>
      <w:pPr>
        <w:ind w:left="5040" w:hanging="360"/>
      </w:pPr>
      <w:rPr>
        <w:rFonts w:ascii="Symbol" w:hAnsi="Symbol" w:hint="default"/>
      </w:rPr>
    </w:lvl>
    <w:lvl w:ilvl="7" w:tplc="1D0A890E" w:tentative="1">
      <w:start w:val="1"/>
      <w:numFmt w:val="bullet"/>
      <w:lvlText w:val="o"/>
      <w:lvlJc w:val="left"/>
      <w:pPr>
        <w:ind w:left="5760" w:hanging="360"/>
      </w:pPr>
      <w:rPr>
        <w:rFonts w:ascii="Courier New" w:hAnsi="Courier New" w:cs="Courier New" w:hint="default"/>
      </w:rPr>
    </w:lvl>
    <w:lvl w:ilvl="8" w:tplc="6FD2312E" w:tentative="1">
      <w:start w:val="1"/>
      <w:numFmt w:val="bullet"/>
      <w:lvlText w:val=""/>
      <w:lvlJc w:val="left"/>
      <w:pPr>
        <w:ind w:left="6480" w:hanging="360"/>
      </w:pPr>
      <w:rPr>
        <w:rFonts w:ascii="Wingdings" w:hAnsi="Wingdings" w:hint="default"/>
      </w:rPr>
    </w:lvl>
  </w:abstractNum>
  <w:abstractNum w:abstractNumId="50" w15:restartNumberingAfterBreak="0">
    <w:nsid w:val="5A496F36"/>
    <w:multiLevelType w:val="multilevel"/>
    <w:tmpl w:val="9094E708"/>
    <w:lvl w:ilvl="0">
      <w:start w:val="1"/>
      <w:numFmt w:val="bullet"/>
      <w:lvlText w:val=""/>
      <w:lvlJc w:val="left"/>
      <w:pPr>
        <w:ind w:left="284" w:hanging="284"/>
      </w:pPr>
      <w:rPr>
        <w:rFonts w:ascii="Wingdings" w:hAnsi="Wingdings" w:cs="Times New Roman" w:hint="default"/>
      </w:rPr>
    </w:lvl>
    <w:lvl w:ilvl="1">
      <w:start w:val="1"/>
      <w:numFmt w:val="bullet"/>
      <w:lvlText w:val=""/>
      <w:lvlJc w:val="left"/>
      <w:pPr>
        <w:ind w:left="567" w:hanging="283"/>
      </w:pPr>
      <w:rPr>
        <w:rFonts w:ascii="Symbol" w:hAnsi="Symbol" w:hint="default"/>
        <w:sz w:val="16"/>
      </w:rPr>
    </w:lvl>
    <w:lvl w:ilvl="2">
      <w:start w:val="1"/>
      <w:numFmt w:val="bullet"/>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5C502239"/>
    <w:multiLevelType w:val="hybridMultilevel"/>
    <w:tmpl w:val="254ADDE8"/>
    <w:lvl w:ilvl="0" w:tplc="F8AA1358">
      <w:start w:val="1"/>
      <w:numFmt w:val="bullet"/>
      <w:lvlText w:val=""/>
      <w:lvlJc w:val="left"/>
      <w:pPr>
        <w:ind w:left="720" w:hanging="360"/>
      </w:pPr>
      <w:rPr>
        <w:rFonts w:ascii="Symbol" w:hAnsi="Symbol" w:hint="default"/>
        <w:sz w:val="16"/>
      </w:rPr>
    </w:lvl>
    <w:lvl w:ilvl="1" w:tplc="66B6D498" w:tentative="1">
      <w:start w:val="1"/>
      <w:numFmt w:val="bullet"/>
      <w:lvlText w:val="o"/>
      <w:lvlJc w:val="left"/>
      <w:pPr>
        <w:ind w:left="1440" w:hanging="360"/>
      </w:pPr>
      <w:rPr>
        <w:rFonts w:ascii="Courier New" w:hAnsi="Courier New" w:cs="Courier New" w:hint="default"/>
      </w:rPr>
    </w:lvl>
    <w:lvl w:ilvl="2" w:tplc="5F269CE6" w:tentative="1">
      <w:start w:val="1"/>
      <w:numFmt w:val="bullet"/>
      <w:lvlText w:val=""/>
      <w:lvlJc w:val="left"/>
      <w:pPr>
        <w:ind w:left="2160" w:hanging="360"/>
      </w:pPr>
      <w:rPr>
        <w:rFonts w:ascii="Wingdings" w:hAnsi="Wingdings" w:hint="default"/>
      </w:rPr>
    </w:lvl>
    <w:lvl w:ilvl="3" w:tplc="A9025F68" w:tentative="1">
      <w:start w:val="1"/>
      <w:numFmt w:val="bullet"/>
      <w:lvlText w:val=""/>
      <w:lvlJc w:val="left"/>
      <w:pPr>
        <w:ind w:left="2880" w:hanging="360"/>
      </w:pPr>
      <w:rPr>
        <w:rFonts w:ascii="Symbol" w:hAnsi="Symbol" w:hint="default"/>
      </w:rPr>
    </w:lvl>
    <w:lvl w:ilvl="4" w:tplc="745A14FC" w:tentative="1">
      <w:start w:val="1"/>
      <w:numFmt w:val="bullet"/>
      <w:lvlText w:val="o"/>
      <w:lvlJc w:val="left"/>
      <w:pPr>
        <w:ind w:left="3600" w:hanging="360"/>
      </w:pPr>
      <w:rPr>
        <w:rFonts w:ascii="Courier New" w:hAnsi="Courier New" w:cs="Courier New" w:hint="default"/>
      </w:rPr>
    </w:lvl>
    <w:lvl w:ilvl="5" w:tplc="6AF0D932" w:tentative="1">
      <w:start w:val="1"/>
      <w:numFmt w:val="bullet"/>
      <w:lvlText w:val=""/>
      <w:lvlJc w:val="left"/>
      <w:pPr>
        <w:ind w:left="4320" w:hanging="360"/>
      </w:pPr>
      <w:rPr>
        <w:rFonts w:ascii="Wingdings" w:hAnsi="Wingdings" w:hint="default"/>
      </w:rPr>
    </w:lvl>
    <w:lvl w:ilvl="6" w:tplc="DBC0E290" w:tentative="1">
      <w:start w:val="1"/>
      <w:numFmt w:val="bullet"/>
      <w:lvlText w:val=""/>
      <w:lvlJc w:val="left"/>
      <w:pPr>
        <w:ind w:left="5040" w:hanging="360"/>
      </w:pPr>
      <w:rPr>
        <w:rFonts w:ascii="Symbol" w:hAnsi="Symbol" w:hint="default"/>
      </w:rPr>
    </w:lvl>
    <w:lvl w:ilvl="7" w:tplc="4A8E9E48" w:tentative="1">
      <w:start w:val="1"/>
      <w:numFmt w:val="bullet"/>
      <w:lvlText w:val="o"/>
      <w:lvlJc w:val="left"/>
      <w:pPr>
        <w:ind w:left="5760" w:hanging="360"/>
      </w:pPr>
      <w:rPr>
        <w:rFonts w:ascii="Courier New" w:hAnsi="Courier New" w:cs="Courier New" w:hint="default"/>
      </w:rPr>
    </w:lvl>
    <w:lvl w:ilvl="8" w:tplc="C96480F2" w:tentative="1">
      <w:start w:val="1"/>
      <w:numFmt w:val="bullet"/>
      <w:lvlText w:val=""/>
      <w:lvlJc w:val="left"/>
      <w:pPr>
        <w:ind w:left="6480" w:hanging="360"/>
      </w:pPr>
      <w:rPr>
        <w:rFonts w:ascii="Wingdings" w:hAnsi="Wingdings" w:hint="default"/>
      </w:rPr>
    </w:lvl>
  </w:abstractNum>
  <w:abstractNum w:abstractNumId="52" w15:restartNumberingAfterBreak="0">
    <w:nsid w:val="5D0E370E"/>
    <w:multiLevelType w:val="multilevel"/>
    <w:tmpl w:val="8892ACDC"/>
    <w:styleLink w:val="BodyTextNumbering"/>
    <w:lvl w:ilvl="0">
      <w:start w:val="1"/>
      <w:numFmt w:val="decimal"/>
      <w:pStyle w:val="BodyText1Number"/>
      <w:lvlText w:val="%1."/>
      <w:lvlJc w:val="left"/>
      <w:pPr>
        <w:ind w:left="360" w:hanging="360"/>
      </w:pPr>
      <w:rPr>
        <w:rFonts w:hint="default"/>
      </w:rPr>
    </w:lvl>
    <w:lvl w:ilvl="1">
      <w:start w:val="1"/>
      <w:numFmt w:val="lowerLetter"/>
      <w:pStyle w:val="BodyText2Letter"/>
      <w:lvlText w:val="%2."/>
      <w:lvlJc w:val="left"/>
      <w:pPr>
        <w:ind w:left="720" w:hanging="360"/>
      </w:pPr>
      <w:rPr>
        <w:rFonts w:hint="default"/>
      </w:rPr>
    </w:lvl>
    <w:lvl w:ilvl="2">
      <w:start w:val="1"/>
      <w:numFmt w:val="lowerRoman"/>
      <w:pStyle w:val="BodyText3Roman"/>
      <w:lvlText w:val="%3."/>
      <w:lvlJc w:val="left"/>
      <w:pPr>
        <w:ind w:left="1072" w:hanging="358"/>
      </w:pPr>
      <w:rPr>
        <w:rFonts w:hint="default"/>
      </w:rPr>
    </w:lvl>
    <w:lvl w:ilvl="3">
      <w:start w:val="1"/>
      <w:numFmt w:val="decimal"/>
      <w:pStyle w:val="BodyText4Number"/>
      <w:lvlText w:val="%4)"/>
      <w:lvlJc w:val="left"/>
      <w:pPr>
        <w:ind w:left="1429"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DF67345"/>
    <w:multiLevelType w:val="hybridMultilevel"/>
    <w:tmpl w:val="BD6429AC"/>
    <w:lvl w:ilvl="0" w:tplc="1E0CF184">
      <w:start w:val="1"/>
      <w:numFmt w:val="bullet"/>
      <w:lvlText w:val=""/>
      <w:lvlJc w:val="left"/>
      <w:pPr>
        <w:ind w:left="720" w:hanging="360"/>
      </w:pPr>
      <w:rPr>
        <w:rFonts w:ascii="Symbol" w:hAnsi="Symbol" w:hint="default"/>
        <w:sz w:val="16"/>
      </w:rPr>
    </w:lvl>
    <w:lvl w:ilvl="1" w:tplc="FB860BDC" w:tentative="1">
      <w:start w:val="1"/>
      <w:numFmt w:val="bullet"/>
      <w:lvlText w:val="o"/>
      <w:lvlJc w:val="left"/>
      <w:pPr>
        <w:ind w:left="1440" w:hanging="360"/>
      </w:pPr>
      <w:rPr>
        <w:rFonts w:ascii="Courier New" w:hAnsi="Courier New" w:cs="Courier New" w:hint="default"/>
      </w:rPr>
    </w:lvl>
    <w:lvl w:ilvl="2" w:tplc="685610CA" w:tentative="1">
      <w:start w:val="1"/>
      <w:numFmt w:val="bullet"/>
      <w:lvlText w:val=""/>
      <w:lvlJc w:val="left"/>
      <w:pPr>
        <w:ind w:left="2160" w:hanging="360"/>
      </w:pPr>
      <w:rPr>
        <w:rFonts w:ascii="Wingdings" w:hAnsi="Wingdings" w:hint="default"/>
      </w:rPr>
    </w:lvl>
    <w:lvl w:ilvl="3" w:tplc="61A80186" w:tentative="1">
      <w:start w:val="1"/>
      <w:numFmt w:val="bullet"/>
      <w:lvlText w:val=""/>
      <w:lvlJc w:val="left"/>
      <w:pPr>
        <w:ind w:left="2880" w:hanging="360"/>
      </w:pPr>
      <w:rPr>
        <w:rFonts w:ascii="Symbol" w:hAnsi="Symbol" w:hint="default"/>
      </w:rPr>
    </w:lvl>
    <w:lvl w:ilvl="4" w:tplc="BE94ED9C" w:tentative="1">
      <w:start w:val="1"/>
      <w:numFmt w:val="bullet"/>
      <w:lvlText w:val="o"/>
      <w:lvlJc w:val="left"/>
      <w:pPr>
        <w:ind w:left="3600" w:hanging="360"/>
      </w:pPr>
      <w:rPr>
        <w:rFonts w:ascii="Courier New" w:hAnsi="Courier New" w:cs="Courier New" w:hint="default"/>
      </w:rPr>
    </w:lvl>
    <w:lvl w:ilvl="5" w:tplc="0B703836" w:tentative="1">
      <w:start w:val="1"/>
      <w:numFmt w:val="bullet"/>
      <w:lvlText w:val=""/>
      <w:lvlJc w:val="left"/>
      <w:pPr>
        <w:ind w:left="4320" w:hanging="360"/>
      </w:pPr>
      <w:rPr>
        <w:rFonts w:ascii="Wingdings" w:hAnsi="Wingdings" w:hint="default"/>
      </w:rPr>
    </w:lvl>
    <w:lvl w:ilvl="6" w:tplc="E4B48622" w:tentative="1">
      <w:start w:val="1"/>
      <w:numFmt w:val="bullet"/>
      <w:lvlText w:val=""/>
      <w:lvlJc w:val="left"/>
      <w:pPr>
        <w:ind w:left="5040" w:hanging="360"/>
      </w:pPr>
      <w:rPr>
        <w:rFonts w:ascii="Symbol" w:hAnsi="Symbol" w:hint="default"/>
      </w:rPr>
    </w:lvl>
    <w:lvl w:ilvl="7" w:tplc="3BBA9F38" w:tentative="1">
      <w:start w:val="1"/>
      <w:numFmt w:val="bullet"/>
      <w:lvlText w:val="o"/>
      <w:lvlJc w:val="left"/>
      <w:pPr>
        <w:ind w:left="5760" w:hanging="360"/>
      </w:pPr>
      <w:rPr>
        <w:rFonts w:ascii="Courier New" w:hAnsi="Courier New" w:cs="Courier New" w:hint="default"/>
      </w:rPr>
    </w:lvl>
    <w:lvl w:ilvl="8" w:tplc="A4C0FF36" w:tentative="1">
      <w:start w:val="1"/>
      <w:numFmt w:val="bullet"/>
      <w:lvlText w:val=""/>
      <w:lvlJc w:val="left"/>
      <w:pPr>
        <w:ind w:left="6480" w:hanging="360"/>
      </w:pPr>
      <w:rPr>
        <w:rFonts w:ascii="Wingdings" w:hAnsi="Wingdings" w:hint="default"/>
      </w:rPr>
    </w:lvl>
  </w:abstractNum>
  <w:abstractNum w:abstractNumId="54" w15:restartNumberingAfterBreak="0">
    <w:nsid w:val="5E622323"/>
    <w:multiLevelType w:val="hybridMultilevel"/>
    <w:tmpl w:val="5F92C688"/>
    <w:lvl w:ilvl="0" w:tplc="843C8106">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3230E7C"/>
    <w:multiLevelType w:val="hybridMultilevel"/>
    <w:tmpl w:val="1988CF56"/>
    <w:lvl w:ilvl="0" w:tplc="843C8106">
      <w:start w:val="1"/>
      <w:numFmt w:val="decimal"/>
      <w:pStyle w:val="Footnote"/>
      <w:lvlText w:val="%1"/>
      <w:lvlJc w:val="left"/>
      <w:pPr>
        <w:ind w:left="360" w:hanging="360"/>
      </w:pPr>
      <w:rPr>
        <w:rFonts w:ascii="Jacobs Chronos Light" w:hAnsi="Jacobs Chronos Light" w:hint="default"/>
        <w:b w:val="0"/>
        <w:i w:val="0"/>
        <w:caps w:val="0"/>
        <w:strike w:val="0"/>
        <w:dstrike w:val="0"/>
        <w:vanish w:val="0"/>
        <w:color w:val="auto"/>
        <w:sz w:val="16"/>
        <w:vertAlign w:val="superscrip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6" w15:restartNumberingAfterBreak="0">
    <w:nsid w:val="69E24B6B"/>
    <w:multiLevelType w:val="multilevel"/>
    <w:tmpl w:val="0D049A4A"/>
    <w:lvl w:ilvl="0">
      <w:start w:val="1"/>
      <w:numFmt w:val="decimal"/>
      <w:pStyle w:val="PhotologNumber"/>
      <w:suff w:val="space"/>
      <w:lvlText w:val="Photograph %1:"/>
      <w:lvlJc w:val="left"/>
      <w:pPr>
        <w:ind w:left="0" w:firstLine="0"/>
      </w:pPr>
      <w:rPr>
        <w:rFonts w:asciiTheme="majorHAnsi" w:hAnsiTheme="majorHAnsi" w:hint="default"/>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E2A1393"/>
    <w:multiLevelType w:val="multilevel"/>
    <w:tmpl w:val="3034C340"/>
    <w:lvl w:ilvl="0">
      <w:start w:val="1"/>
      <w:numFmt w:val="bullet"/>
      <w:lvlText w:val=""/>
      <w:lvlJc w:val="left"/>
      <w:pPr>
        <w:ind w:left="284" w:hanging="284"/>
      </w:pPr>
      <w:rPr>
        <w:rFonts w:ascii="Symbol" w:hAnsi="Symbol" w:hint="default"/>
        <w:sz w:val="16"/>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78274333"/>
    <w:multiLevelType w:val="multilevel"/>
    <w:tmpl w:val="531CB01E"/>
    <w:numStyleLink w:val="TableNumbers"/>
  </w:abstractNum>
  <w:abstractNum w:abstractNumId="59" w15:restartNumberingAfterBreak="0">
    <w:nsid w:val="799816C1"/>
    <w:multiLevelType w:val="hybridMultilevel"/>
    <w:tmpl w:val="5198C150"/>
    <w:lvl w:ilvl="0" w:tplc="6AFE0BE2">
      <w:start w:val="1"/>
      <w:numFmt w:val="bullet"/>
      <w:lvlText w:val=""/>
      <w:lvlJc w:val="left"/>
      <w:pPr>
        <w:ind w:left="720" w:hanging="360"/>
      </w:pPr>
      <w:rPr>
        <w:rFonts w:ascii="Symbol" w:hAnsi="Symbol" w:hint="default"/>
        <w:sz w:val="16"/>
      </w:rPr>
    </w:lvl>
    <w:lvl w:ilvl="1" w:tplc="361C3198" w:tentative="1">
      <w:start w:val="1"/>
      <w:numFmt w:val="bullet"/>
      <w:lvlText w:val="o"/>
      <w:lvlJc w:val="left"/>
      <w:pPr>
        <w:ind w:left="1440" w:hanging="360"/>
      </w:pPr>
      <w:rPr>
        <w:rFonts w:ascii="Courier New" w:hAnsi="Courier New" w:cs="Courier New" w:hint="default"/>
      </w:rPr>
    </w:lvl>
    <w:lvl w:ilvl="2" w:tplc="051A1E24" w:tentative="1">
      <w:start w:val="1"/>
      <w:numFmt w:val="bullet"/>
      <w:lvlText w:val=""/>
      <w:lvlJc w:val="left"/>
      <w:pPr>
        <w:ind w:left="2160" w:hanging="360"/>
      </w:pPr>
      <w:rPr>
        <w:rFonts w:ascii="Wingdings" w:hAnsi="Wingdings" w:hint="default"/>
      </w:rPr>
    </w:lvl>
    <w:lvl w:ilvl="3" w:tplc="B970A53E" w:tentative="1">
      <w:start w:val="1"/>
      <w:numFmt w:val="bullet"/>
      <w:lvlText w:val=""/>
      <w:lvlJc w:val="left"/>
      <w:pPr>
        <w:ind w:left="2880" w:hanging="360"/>
      </w:pPr>
      <w:rPr>
        <w:rFonts w:ascii="Symbol" w:hAnsi="Symbol" w:hint="default"/>
      </w:rPr>
    </w:lvl>
    <w:lvl w:ilvl="4" w:tplc="EEEA0B02" w:tentative="1">
      <w:start w:val="1"/>
      <w:numFmt w:val="bullet"/>
      <w:lvlText w:val="o"/>
      <w:lvlJc w:val="left"/>
      <w:pPr>
        <w:ind w:left="3600" w:hanging="360"/>
      </w:pPr>
      <w:rPr>
        <w:rFonts w:ascii="Courier New" w:hAnsi="Courier New" w:cs="Courier New" w:hint="default"/>
      </w:rPr>
    </w:lvl>
    <w:lvl w:ilvl="5" w:tplc="9AA65770" w:tentative="1">
      <w:start w:val="1"/>
      <w:numFmt w:val="bullet"/>
      <w:lvlText w:val=""/>
      <w:lvlJc w:val="left"/>
      <w:pPr>
        <w:ind w:left="4320" w:hanging="360"/>
      </w:pPr>
      <w:rPr>
        <w:rFonts w:ascii="Wingdings" w:hAnsi="Wingdings" w:hint="default"/>
      </w:rPr>
    </w:lvl>
    <w:lvl w:ilvl="6" w:tplc="B4780664" w:tentative="1">
      <w:start w:val="1"/>
      <w:numFmt w:val="bullet"/>
      <w:lvlText w:val=""/>
      <w:lvlJc w:val="left"/>
      <w:pPr>
        <w:ind w:left="5040" w:hanging="360"/>
      </w:pPr>
      <w:rPr>
        <w:rFonts w:ascii="Symbol" w:hAnsi="Symbol" w:hint="default"/>
      </w:rPr>
    </w:lvl>
    <w:lvl w:ilvl="7" w:tplc="8AE84690" w:tentative="1">
      <w:start w:val="1"/>
      <w:numFmt w:val="bullet"/>
      <w:lvlText w:val="o"/>
      <w:lvlJc w:val="left"/>
      <w:pPr>
        <w:ind w:left="5760" w:hanging="360"/>
      </w:pPr>
      <w:rPr>
        <w:rFonts w:ascii="Courier New" w:hAnsi="Courier New" w:cs="Courier New" w:hint="default"/>
      </w:rPr>
    </w:lvl>
    <w:lvl w:ilvl="8" w:tplc="7F9019CA" w:tentative="1">
      <w:start w:val="1"/>
      <w:numFmt w:val="bullet"/>
      <w:lvlText w:val=""/>
      <w:lvlJc w:val="left"/>
      <w:pPr>
        <w:ind w:left="6480" w:hanging="360"/>
      </w:pPr>
      <w:rPr>
        <w:rFonts w:ascii="Wingdings" w:hAnsi="Wingdings" w:hint="default"/>
      </w:rPr>
    </w:lvl>
  </w:abstractNum>
  <w:abstractNum w:abstractNumId="60" w15:restartNumberingAfterBreak="0">
    <w:nsid w:val="7BA81C76"/>
    <w:multiLevelType w:val="multilevel"/>
    <w:tmpl w:val="1FC64CFC"/>
    <w:lvl w:ilvl="0">
      <w:start w:val="1"/>
      <w:numFmt w:val="bullet"/>
      <w:lvlText w:val=""/>
      <w:lvlJc w:val="left"/>
      <w:pPr>
        <w:tabs>
          <w:tab w:val="num" w:pos="720"/>
        </w:tabs>
        <w:ind w:left="720" w:hanging="360"/>
      </w:pPr>
      <w:rPr>
        <w:rFonts w:ascii="Symbol" w:hAnsi="Symbol" w:hint="default"/>
        <w:sz w:val="1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BD455B9"/>
    <w:multiLevelType w:val="multilevel"/>
    <w:tmpl w:val="F7EA60DA"/>
    <w:styleLink w:val="AppendixHeadings"/>
    <w:lvl w:ilvl="0">
      <w:start w:val="1"/>
      <w:numFmt w:val="upperLetter"/>
      <w:pStyle w:val="AppendixHeading1"/>
      <w:suff w:val="space"/>
      <w:lvlText w:val="Appendix %1."/>
      <w:lvlJc w:val="left"/>
      <w:pPr>
        <w:ind w:left="1985" w:hanging="1985"/>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7D200849"/>
    <w:multiLevelType w:val="hybridMultilevel"/>
    <w:tmpl w:val="2594EE84"/>
    <w:lvl w:ilvl="0" w:tplc="1C761F32">
      <w:start w:val="1"/>
      <w:numFmt w:val="bullet"/>
      <w:lvlText w:val=""/>
      <w:lvlJc w:val="left"/>
      <w:pPr>
        <w:ind w:left="720" w:hanging="360"/>
      </w:pPr>
      <w:rPr>
        <w:rFonts w:ascii="Symbol" w:hAnsi="Symbol" w:hint="default"/>
        <w:sz w:val="16"/>
      </w:rPr>
    </w:lvl>
    <w:lvl w:ilvl="1" w:tplc="2954D412" w:tentative="1">
      <w:start w:val="1"/>
      <w:numFmt w:val="bullet"/>
      <w:lvlText w:val="o"/>
      <w:lvlJc w:val="left"/>
      <w:pPr>
        <w:ind w:left="1440" w:hanging="360"/>
      </w:pPr>
      <w:rPr>
        <w:rFonts w:ascii="Courier New" w:hAnsi="Courier New" w:cs="Courier New" w:hint="default"/>
      </w:rPr>
    </w:lvl>
    <w:lvl w:ilvl="2" w:tplc="4F34DAD4" w:tentative="1">
      <w:start w:val="1"/>
      <w:numFmt w:val="bullet"/>
      <w:lvlText w:val=""/>
      <w:lvlJc w:val="left"/>
      <w:pPr>
        <w:ind w:left="2160" w:hanging="360"/>
      </w:pPr>
      <w:rPr>
        <w:rFonts w:ascii="Wingdings" w:hAnsi="Wingdings" w:hint="default"/>
      </w:rPr>
    </w:lvl>
    <w:lvl w:ilvl="3" w:tplc="768E84F6" w:tentative="1">
      <w:start w:val="1"/>
      <w:numFmt w:val="bullet"/>
      <w:lvlText w:val=""/>
      <w:lvlJc w:val="left"/>
      <w:pPr>
        <w:ind w:left="2880" w:hanging="360"/>
      </w:pPr>
      <w:rPr>
        <w:rFonts w:ascii="Symbol" w:hAnsi="Symbol" w:hint="default"/>
      </w:rPr>
    </w:lvl>
    <w:lvl w:ilvl="4" w:tplc="7702F142" w:tentative="1">
      <w:start w:val="1"/>
      <w:numFmt w:val="bullet"/>
      <w:lvlText w:val="o"/>
      <w:lvlJc w:val="left"/>
      <w:pPr>
        <w:ind w:left="3600" w:hanging="360"/>
      </w:pPr>
      <w:rPr>
        <w:rFonts w:ascii="Courier New" w:hAnsi="Courier New" w:cs="Courier New" w:hint="default"/>
      </w:rPr>
    </w:lvl>
    <w:lvl w:ilvl="5" w:tplc="F74CBAD2" w:tentative="1">
      <w:start w:val="1"/>
      <w:numFmt w:val="bullet"/>
      <w:lvlText w:val=""/>
      <w:lvlJc w:val="left"/>
      <w:pPr>
        <w:ind w:left="4320" w:hanging="360"/>
      </w:pPr>
      <w:rPr>
        <w:rFonts w:ascii="Wingdings" w:hAnsi="Wingdings" w:hint="default"/>
      </w:rPr>
    </w:lvl>
    <w:lvl w:ilvl="6" w:tplc="9A36A608" w:tentative="1">
      <w:start w:val="1"/>
      <w:numFmt w:val="bullet"/>
      <w:lvlText w:val=""/>
      <w:lvlJc w:val="left"/>
      <w:pPr>
        <w:ind w:left="5040" w:hanging="360"/>
      </w:pPr>
      <w:rPr>
        <w:rFonts w:ascii="Symbol" w:hAnsi="Symbol" w:hint="default"/>
      </w:rPr>
    </w:lvl>
    <w:lvl w:ilvl="7" w:tplc="2D6286D4" w:tentative="1">
      <w:start w:val="1"/>
      <w:numFmt w:val="bullet"/>
      <w:lvlText w:val="o"/>
      <w:lvlJc w:val="left"/>
      <w:pPr>
        <w:ind w:left="5760" w:hanging="360"/>
      </w:pPr>
      <w:rPr>
        <w:rFonts w:ascii="Courier New" w:hAnsi="Courier New" w:cs="Courier New" w:hint="default"/>
      </w:rPr>
    </w:lvl>
    <w:lvl w:ilvl="8" w:tplc="191003D4"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45"/>
  </w:num>
  <w:num w:numId="4">
    <w:abstractNumId w:val="55"/>
  </w:num>
  <w:num w:numId="5">
    <w:abstractNumId w:val="28"/>
  </w:num>
  <w:num w:numId="6">
    <w:abstractNumId w:val="35"/>
  </w:num>
  <w:num w:numId="7">
    <w:abstractNumId w:val="1"/>
  </w:num>
  <w:num w:numId="8">
    <w:abstractNumId w:val="3"/>
  </w:num>
  <w:num w:numId="9">
    <w:abstractNumId w:val="44"/>
  </w:num>
  <w:num w:numId="10">
    <w:abstractNumId w:val="37"/>
  </w:num>
  <w:num w:numId="11">
    <w:abstractNumId w:val="41"/>
  </w:num>
  <w:num w:numId="12">
    <w:abstractNumId w:val="10"/>
  </w:num>
  <w:num w:numId="13">
    <w:abstractNumId w:val="14"/>
  </w:num>
  <w:num w:numId="14">
    <w:abstractNumId w:val="0"/>
  </w:num>
  <w:num w:numId="15">
    <w:abstractNumId w:val="46"/>
  </w:num>
  <w:num w:numId="16">
    <w:abstractNumId w:val="38"/>
  </w:num>
  <w:num w:numId="17">
    <w:abstractNumId w:val="18"/>
  </w:num>
  <w:num w:numId="1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
  </w:num>
  <w:num w:numId="21">
    <w:abstractNumId w:val="23"/>
  </w:num>
  <w:num w:numId="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2"/>
  </w:num>
  <w:num w:numId="25">
    <w:abstractNumId w:val="7"/>
  </w:num>
  <w:num w:numId="26">
    <w:abstractNumId w:val="20"/>
  </w:num>
  <w:num w:numId="27">
    <w:abstractNumId w:val="56"/>
  </w:num>
  <w:num w:numId="28">
    <w:abstractNumId w:val="17"/>
  </w:num>
  <w:num w:numId="29">
    <w:abstractNumId w:val="48"/>
  </w:num>
  <w:num w:numId="30">
    <w:abstractNumId w:val="58"/>
  </w:num>
  <w:num w:numId="31">
    <w:abstractNumId w:val="24"/>
    <w:lvlOverride w:ilvl="0">
      <w:lvl w:ilvl="0">
        <w:start w:val="1"/>
        <w:numFmt w:val="bullet"/>
        <w:pStyle w:val="BulletLevel1"/>
        <w:lvlText w:val=""/>
        <w:lvlJc w:val="left"/>
        <w:pPr>
          <w:ind w:left="284" w:hanging="284"/>
        </w:pPr>
        <w:rPr>
          <w:rFonts w:ascii="Wingdings" w:hAnsi="Wingdings" w:cs="Times New Roman" w:hint="default"/>
          <w:sz w:val="20"/>
          <w:szCs w:val="20"/>
        </w:rPr>
      </w:lvl>
    </w:lvlOverride>
  </w:num>
  <w:num w:numId="32">
    <w:abstractNumId w:val="26"/>
  </w:num>
  <w:num w:numId="33">
    <w:abstractNumId w:val="12"/>
  </w:num>
  <w:num w:numId="34">
    <w:abstractNumId w:val="13"/>
  </w:num>
  <w:num w:numId="35">
    <w:abstractNumId w:val="27"/>
  </w:num>
  <w:num w:numId="36">
    <w:abstractNumId w:val="52"/>
  </w:num>
  <w:num w:numId="37">
    <w:abstractNumId w:val="61"/>
  </w:num>
  <w:num w:numId="38">
    <w:abstractNumId w:val="24"/>
  </w:num>
  <w:num w:numId="39">
    <w:abstractNumId w:val="42"/>
  </w:num>
  <w:num w:numId="40">
    <w:abstractNumId w:val="32"/>
  </w:num>
  <w:num w:numId="41">
    <w:abstractNumId w:val="16"/>
  </w:num>
  <w:num w:numId="42">
    <w:abstractNumId w:val="34"/>
  </w:num>
  <w:num w:numId="43">
    <w:abstractNumId w:val="25"/>
  </w:num>
  <w:num w:numId="44">
    <w:abstractNumId w:val="33"/>
  </w:num>
  <w:num w:numId="45">
    <w:abstractNumId w:val="36"/>
  </w:num>
  <w:num w:numId="46">
    <w:abstractNumId w:val="47"/>
  </w:num>
  <w:num w:numId="47">
    <w:abstractNumId w:val="49"/>
  </w:num>
  <w:num w:numId="48">
    <w:abstractNumId w:val="30"/>
  </w:num>
  <w:num w:numId="49">
    <w:abstractNumId w:val="11"/>
  </w:num>
  <w:num w:numId="50">
    <w:abstractNumId w:val="60"/>
  </w:num>
  <w:num w:numId="51">
    <w:abstractNumId w:val="19"/>
  </w:num>
  <w:num w:numId="52">
    <w:abstractNumId w:val="50"/>
  </w:num>
  <w:num w:numId="53">
    <w:abstractNumId w:val="31"/>
  </w:num>
  <w:num w:numId="54">
    <w:abstractNumId w:val="39"/>
  </w:num>
  <w:num w:numId="55">
    <w:abstractNumId w:val="62"/>
  </w:num>
  <w:num w:numId="56">
    <w:abstractNumId w:val="54"/>
  </w:num>
  <w:num w:numId="57">
    <w:abstractNumId w:val="53"/>
  </w:num>
  <w:num w:numId="58">
    <w:abstractNumId w:val="21"/>
  </w:num>
  <w:num w:numId="59">
    <w:abstractNumId w:val="51"/>
  </w:num>
  <w:num w:numId="60">
    <w:abstractNumId w:val="59"/>
  </w:num>
  <w:num w:numId="61">
    <w:abstractNumId w:val="43"/>
  </w:num>
  <w:num w:numId="62">
    <w:abstractNumId w:val="40"/>
  </w:num>
  <w:num w:numId="63">
    <w:abstractNumId w:val="29"/>
  </w:num>
  <w:num w:numId="64">
    <w:abstractNumId w:val="15"/>
  </w:num>
  <w:num w:numId="65">
    <w:abstractNumId w:val="57"/>
  </w:num>
  <w:num w:numId="66">
    <w:abstractNumId w:val="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44"/>
  <w:drawingGridVerticalSpacing w:val="144"/>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SelectedNamespace" w:val="http://schemas.macroview.com.au/documentsettings"/>
  </w:docVars>
  <w:rsids>
    <w:rsidRoot w:val="00A30B01"/>
    <w:rsid w:val="00000004"/>
    <w:rsid w:val="0000134C"/>
    <w:rsid w:val="00001FD9"/>
    <w:rsid w:val="00002088"/>
    <w:rsid w:val="000025F2"/>
    <w:rsid w:val="0000271B"/>
    <w:rsid w:val="00002D39"/>
    <w:rsid w:val="00003E2F"/>
    <w:rsid w:val="00004BA2"/>
    <w:rsid w:val="00005237"/>
    <w:rsid w:val="000058A6"/>
    <w:rsid w:val="00011C24"/>
    <w:rsid w:val="0001212E"/>
    <w:rsid w:val="0001236B"/>
    <w:rsid w:val="000144C5"/>
    <w:rsid w:val="00014982"/>
    <w:rsid w:val="00014BA8"/>
    <w:rsid w:val="0001754F"/>
    <w:rsid w:val="00017B6A"/>
    <w:rsid w:val="00017D9E"/>
    <w:rsid w:val="00020196"/>
    <w:rsid w:val="0002081A"/>
    <w:rsid w:val="00020DB3"/>
    <w:rsid w:val="000214FF"/>
    <w:rsid w:val="00021CB2"/>
    <w:rsid w:val="0002443C"/>
    <w:rsid w:val="000252D8"/>
    <w:rsid w:val="00025ACF"/>
    <w:rsid w:val="0002782F"/>
    <w:rsid w:val="00027BCB"/>
    <w:rsid w:val="00031BE3"/>
    <w:rsid w:val="000328FC"/>
    <w:rsid w:val="000336DD"/>
    <w:rsid w:val="00034DBF"/>
    <w:rsid w:val="0003673F"/>
    <w:rsid w:val="00037BF1"/>
    <w:rsid w:val="00040549"/>
    <w:rsid w:val="00040F45"/>
    <w:rsid w:val="00043CAA"/>
    <w:rsid w:val="000449AA"/>
    <w:rsid w:val="00045D54"/>
    <w:rsid w:val="00046130"/>
    <w:rsid w:val="000464CA"/>
    <w:rsid w:val="00046B55"/>
    <w:rsid w:val="000470D0"/>
    <w:rsid w:val="00047FAE"/>
    <w:rsid w:val="000504BB"/>
    <w:rsid w:val="00052C5D"/>
    <w:rsid w:val="000552B0"/>
    <w:rsid w:val="000562C7"/>
    <w:rsid w:val="00056878"/>
    <w:rsid w:val="000578C5"/>
    <w:rsid w:val="00060223"/>
    <w:rsid w:val="000608F9"/>
    <w:rsid w:val="00060C7A"/>
    <w:rsid w:val="00062303"/>
    <w:rsid w:val="00063687"/>
    <w:rsid w:val="00063973"/>
    <w:rsid w:val="0006489E"/>
    <w:rsid w:val="00065515"/>
    <w:rsid w:val="00066DE7"/>
    <w:rsid w:val="000705AB"/>
    <w:rsid w:val="0007079A"/>
    <w:rsid w:val="00071A27"/>
    <w:rsid w:val="00072CFE"/>
    <w:rsid w:val="0007371B"/>
    <w:rsid w:val="00073FB3"/>
    <w:rsid w:val="00074886"/>
    <w:rsid w:val="000753C4"/>
    <w:rsid w:val="000761D9"/>
    <w:rsid w:val="000773B9"/>
    <w:rsid w:val="00080BB2"/>
    <w:rsid w:val="00081C55"/>
    <w:rsid w:val="000822F4"/>
    <w:rsid w:val="00082319"/>
    <w:rsid w:val="000825AA"/>
    <w:rsid w:val="00084A35"/>
    <w:rsid w:val="00090AF4"/>
    <w:rsid w:val="00090C5F"/>
    <w:rsid w:val="000913C5"/>
    <w:rsid w:val="00091CED"/>
    <w:rsid w:val="000938ED"/>
    <w:rsid w:val="00095532"/>
    <w:rsid w:val="0009618B"/>
    <w:rsid w:val="000A254F"/>
    <w:rsid w:val="000A3C09"/>
    <w:rsid w:val="000A487E"/>
    <w:rsid w:val="000A5B6B"/>
    <w:rsid w:val="000B03DD"/>
    <w:rsid w:val="000B0ED1"/>
    <w:rsid w:val="000B132D"/>
    <w:rsid w:val="000B15CD"/>
    <w:rsid w:val="000B25A0"/>
    <w:rsid w:val="000B2C7C"/>
    <w:rsid w:val="000B36A8"/>
    <w:rsid w:val="000B3904"/>
    <w:rsid w:val="000B3BEF"/>
    <w:rsid w:val="000B3FC3"/>
    <w:rsid w:val="000B4645"/>
    <w:rsid w:val="000B64EE"/>
    <w:rsid w:val="000B67BF"/>
    <w:rsid w:val="000B7D73"/>
    <w:rsid w:val="000C019E"/>
    <w:rsid w:val="000C163A"/>
    <w:rsid w:val="000C29F2"/>
    <w:rsid w:val="000C3440"/>
    <w:rsid w:val="000C4415"/>
    <w:rsid w:val="000C56DD"/>
    <w:rsid w:val="000C573C"/>
    <w:rsid w:val="000C5C9C"/>
    <w:rsid w:val="000C5F5A"/>
    <w:rsid w:val="000C74ED"/>
    <w:rsid w:val="000C78CC"/>
    <w:rsid w:val="000C7C60"/>
    <w:rsid w:val="000C7EE0"/>
    <w:rsid w:val="000D0371"/>
    <w:rsid w:val="000D2D8B"/>
    <w:rsid w:val="000D3FC4"/>
    <w:rsid w:val="000D4976"/>
    <w:rsid w:val="000D59F6"/>
    <w:rsid w:val="000D6FF3"/>
    <w:rsid w:val="000E07DF"/>
    <w:rsid w:val="000E0EE9"/>
    <w:rsid w:val="000E3EF6"/>
    <w:rsid w:val="000E556F"/>
    <w:rsid w:val="000E62FF"/>
    <w:rsid w:val="000E7DC0"/>
    <w:rsid w:val="000F197C"/>
    <w:rsid w:val="000F1991"/>
    <w:rsid w:val="000F55EB"/>
    <w:rsid w:val="000F664B"/>
    <w:rsid w:val="000F7A9F"/>
    <w:rsid w:val="00100310"/>
    <w:rsid w:val="00100C07"/>
    <w:rsid w:val="00102CFC"/>
    <w:rsid w:val="00103BF0"/>
    <w:rsid w:val="001045FF"/>
    <w:rsid w:val="0010641A"/>
    <w:rsid w:val="00106706"/>
    <w:rsid w:val="00110248"/>
    <w:rsid w:val="00111D53"/>
    <w:rsid w:val="00111E71"/>
    <w:rsid w:val="0011206B"/>
    <w:rsid w:val="00112305"/>
    <w:rsid w:val="00113E36"/>
    <w:rsid w:val="0011559D"/>
    <w:rsid w:val="001155AE"/>
    <w:rsid w:val="001160CB"/>
    <w:rsid w:val="00117E89"/>
    <w:rsid w:val="00120563"/>
    <w:rsid w:val="0012117E"/>
    <w:rsid w:val="0012290C"/>
    <w:rsid w:val="0012301A"/>
    <w:rsid w:val="001264DF"/>
    <w:rsid w:val="001277DA"/>
    <w:rsid w:val="00127850"/>
    <w:rsid w:val="0012785F"/>
    <w:rsid w:val="00127BD7"/>
    <w:rsid w:val="00130240"/>
    <w:rsid w:val="00130BEC"/>
    <w:rsid w:val="00132114"/>
    <w:rsid w:val="0013485A"/>
    <w:rsid w:val="0013516F"/>
    <w:rsid w:val="00135334"/>
    <w:rsid w:val="00136205"/>
    <w:rsid w:val="00137C6A"/>
    <w:rsid w:val="00141007"/>
    <w:rsid w:val="00141E02"/>
    <w:rsid w:val="00142EAC"/>
    <w:rsid w:val="0014332E"/>
    <w:rsid w:val="0014421B"/>
    <w:rsid w:val="001465F2"/>
    <w:rsid w:val="0014665D"/>
    <w:rsid w:val="00146DF9"/>
    <w:rsid w:val="00147074"/>
    <w:rsid w:val="00147BC5"/>
    <w:rsid w:val="00147C51"/>
    <w:rsid w:val="00151007"/>
    <w:rsid w:val="00151348"/>
    <w:rsid w:val="00151F2C"/>
    <w:rsid w:val="00153A92"/>
    <w:rsid w:val="0015625F"/>
    <w:rsid w:val="0015726B"/>
    <w:rsid w:val="001575B1"/>
    <w:rsid w:val="00162741"/>
    <w:rsid w:val="001629AA"/>
    <w:rsid w:val="00162FA5"/>
    <w:rsid w:val="00163A3D"/>
    <w:rsid w:val="0016410C"/>
    <w:rsid w:val="00164AEF"/>
    <w:rsid w:val="00165C0A"/>
    <w:rsid w:val="001661E6"/>
    <w:rsid w:val="001674EA"/>
    <w:rsid w:val="001674ED"/>
    <w:rsid w:val="00167D32"/>
    <w:rsid w:val="0017168F"/>
    <w:rsid w:val="00171E08"/>
    <w:rsid w:val="001720FA"/>
    <w:rsid w:val="00172EFF"/>
    <w:rsid w:val="0017508F"/>
    <w:rsid w:val="00180E39"/>
    <w:rsid w:val="00181EB8"/>
    <w:rsid w:val="00182D93"/>
    <w:rsid w:val="0018376C"/>
    <w:rsid w:val="00183AE5"/>
    <w:rsid w:val="00186011"/>
    <w:rsid w:val="0018700A"/>
    <w:rsid w:val="001870A7"/>
    <w:rsid w:val="001872E8"/>
    <w:rsid w:val="001953D7"/>
    <w:rsid w:val="001954A3"/>
    <w:rsid w:val="00195D2F"/>
    <w:rsid w:val="00195FD8"/>
    <w:rsid w:val="001A0019"/>
    <w:rsid w:val="001A119B"/>
    <w:rsid w:val="001A1566"/>
    <w:rsid w:val="001A294E"/>
    <w:rsid w:val="001A29C0"/>
    <w:rsid w:val="001A2A7F"/>
    <w:rsid w:val="001A2E89"/>
    <w:rsid w:val="001A3136"/>
    <w:rsid w:val="001A3F47"/>
    <w:rsid w:val="001A4D66"/>
    <w:rsid w:val="001B0645"/>
    <w:rsid w:val="001B0667"/>
    <w:rsid w:val="001B3EB2"/>
    <w:rsid w:val="001B4041"/>
    <w:rsid w:val="001B423D"/>
    <w:rsid w:val="001B426B"/>
    <w:rsid w:val="001B5641"/>
    <w:rsid w:val="001B5A6C"/>
    <w:rsid w:val="001B65D3"/>
    <w:rsid w:val="001B672C"/>
    <w:rsid w:val="001B68BA"/>
    <w:rsid w:val="001C03EB"/>
    <w:rsid w:val="001C2739"/>
    <w:rsid w:val="001C3765"/>
    <w:rsid w:val="001C5700"/>
    <w:rsid w:val="001C5BE9"/>
    <w:rsid w:val="001C602D"/>
    <w:rsid w:val="001C6E4A"/>
    <w:rsid w:val="001D02D6"/>
    <w:rsid w:val="001D0418"/>
    <w:rsid w:val="001D084C"/>
    <w:rsid w:val="001D15EE"/>
    <w:rsid w:val="001D34C7"/>
    <w:rsid w:val="001D38C0"/>
    <w:rsid w:val="001D3A7A"/>
    <w:rsid w:val="001D5396"/>
    <w:rsid w:val="001D54A9"/>
    <w:rsid w:val="001D6876"/>
    <w:rsid w:val="001D7D35"/>
    <w:rsid w:val="001E1A72"/>
    <w:rsid w:val="001E271B"/>
    <w:rsid w:val="001E310A"/>
    <w:rsid w:val="001E316A"/>
    <w:rsid w:val="001E3DD9"/>
    <w:rsid w:val="001E4D95"/>
    <w:rsid w:val="001E624B"/>
    <w:rsid w:val="001F0E95"/>
    <w:rsid w:val="001F2281"/>
    <w:rsid w:val="001F381A"/>
    <w:rsid w:val="001F422E"/>
    <w:rsid w:val="001F4527"/>
    <w:rsid w:val="001F45E5"/>
    <w:rsid w:val="001F5219"/>
    <w:rsid w:val="001F64C0"/>
    <w:rsid w:val="001F66EC"/>
    <w:rsid w:val="001F6B32"/>
    <w:rsid w:val="001F6DCD"/>
    <w:rsid w:val="001F77B3"/>
    <w:rsid w:val="0020004D"/>
    <w:rsid w:val="00200144"/>
    <w:rsid w:val="0020292F"/>
    <w:rsid w:val="002051D6"/>
    <w:rsid w:val="0021064A"/>
    <w:rsid w:val="00211A29"/>
    <w:rsid w:val="00213687"/>
    <w:rsid w:val="002149D0"/>
    <w:rsid w:val="0021564E"/>
    <w:rsid w:val="0021587F"/>
    <w:rsid w:val="00220778"/>
    <w:rsid w:val="00220AFD"/>
    <w:rsid w:val="00222F57"/>
    <w:rsid w:val="00223A3A"/>
    <w:rsid w:val="00224F74"/>
    <w:rsid w:val="0022502A"/>
    <w:rsid w:val="002259FD"/>
    <w:rsid w:val="00226F76"/>
    <w:rsid w:val="0023016D"/>
    <w:rsid w:val="00231399"/>
    <w:rsid w:val="002317EC"/>
    <w:rsid w:val="00231833"/>
    <w:rsid w:val="00231AA0"/>
    <w:rsid w:val="00232471"/>
    <w:rsid w:val="00233F55"/>
    <w:rsid w:val="00235444"/>
    <w:rsid w:val="00236C1E"/>
    <w:rsid w:val="002376B9"/>
    <w:rsid w:val="002379D5"/>
    <w:rsid w:val="002400DB"/>
    <w:rsid w:val="002426FE"/>
    <w:rsid w:val="00242B7E"/>
    <w:rsid w:val="002446C0"/>
    <w:rsid w:val="00244FF8"/>
    <w:rsid w:val="002471A3"/>
    <w:rsid w:val="002500F5"/>
    <w:rsid w:val="00250342"/>
    <w:rsid w:val="00253F47"/>
    <w:rsid w:val="00254DDE"/>
    <w:rsid w:val="002564F8"/>
    <w:rsid w:val="00261760"/>
    <w:rsid w:val="00261D77"/>
    <w:rsid w:val="002627A6"/>
    <w:rsid w:val="00263E34"/>
    <w:rsid w:val="002652B5"/>
    <w:rsid w:val="00265993"/>
    <w:rsid w:val="002667C9"/>
    <w:rsid w:val="00266BD5"/>
    <w:rsid w:val="00266C2E"/>
    <w:rsid w:val="00267FA8"/>
    <w:rsid w:val="00270235"/>
    <w:rsid w:val="00270681"/>
    <w:rsid w:val="00270C5E"/>
    <w:rsid w:val="00271B2E"/>
    <w:rsid w:val="00271BBA"/>
    <w:rsid w:val="00272A4F"/>
    <w:rsid w:val="002734C3"/>
    <w:rsid w:val="002779C6"/>
    <w:rsid w:val="00277B66"/>
    <w:rsid w:val="00280E37"/>
    <w:rsid w:val="00283E64"/>
    <w:rsid w:val="002844EB"/>
    <w:rsid w:val="002858E3"/>
    <w:rsid w:val="00285E35"/>
    <w:rsid w:val="00286484"/>
    <w:rsid w:val="00286AB4"/>
    <w:rsid w:val="002870B9"/>
    <w:rsid w:val="00287783"/>
    <w:rsid w:val="00287A8A"/>
    <w:rsid w:val="00290D1E"/>
    <w:rsid w:val="0029179C"/>
    <w:rsid w:val="00291EBB"/>
    <w:rsid w:val="0029464D"/>
    <w:rsid w:val="00294874"/>
    <w:rsid w:val="00296AFD"/>
    <w:rsid w:val="00296BEE"/>
    <w:rsid w:val="002972FE"/>
    <w:rsid w:val="002978C8"/>
    <w:rsid w:val="002A0442"/>
    <w:rsid w:val="002A0C7E"/>
    <w:rsid w:val="002A0CF6"/>
    <w:rsid w:val="002A20D6"/>
    <w:rsid w:val="002A2992"/>
    <w:rsid w:val="002A30D1"/>
    <w:rsid w:val="002A3B29"/>
    <w:rsid w:val="002A4456"/>
    <w:rsid w:val="002B1721"/>
    <w:rsid w:val="002B3522"/>
    <w:rsid w:val="002B38F3"/>
    <w:rsid w:val="002B3AE6"/>
    <w:rsid w:val="002B453B"/>
    <w:rsid w:val="002B4EB6"/>
    <w:rsid w:val="002B5A44"/>
    <w:rsid w:val="002B6869"/>
    <w:rsid w:val="002B74C4"/>
    <w:rsid w:val="002C21B7"/>
    <w:rsid w:val="002C2BF2"/>
    <w:rsid w:val="002C57F5"/>
    <w:rsid w:val="002C5D6A"/>
    <w:rsid w:val="002C6ED1"/>
    <w:rsid w:val="002C74EF"/>
    <w:rsid w:val="002D03CC"/>
    <w:rsid w:val="002D117F"/>
    <w:rsid w:val="002D3BA2"/>
    <w:rsid w:val="002D655C"/>
    <w:rsid w:val="002D6A9D"/>
    <w:rsid w:val="002D7A04"/>
    <w:rsid w:val="002E11F3"/>
    <w:rsid w:val="002E1B03"/>
    <w:rsid w:val="002E28FC"/>
    <w:rsid w:val="002E31FF"/>
    <w:rsid w:val="002E513F"/>
    <w:rsid w:val="002E5899"/>
    <w:rsid w:val="002E6DCB"/>
    <w:rsid w:val="002E731B"/>
    <w:rsid w:val="002F0DA3"/>
    <w:rsid w:val="002F1642"/>
    <w:rsid w:val="002F4502"/>
    <w:rsid w:val="002F4DDA"/>
    <w:rsid w:val="002F5029"/>
    <w:rsid w:val="0030207F"/>
    <w:rsid w:val="003025E7"/>
    <w:rsid w:val="003031E0"/>
    <w:rsid w:val="003032FC"/>
    <w:rsid w:val="00303B3C"/>
    <w:rsid w:val="00303B8A"/>
    <w:rsid w:val="00304131"/>
    <w:rsid w:val="003046E1"/>
    <w:rsid w:val="0030530B"/>
    <w:rsid w:val="0030771E"/>
    <w:rsid w:val="00307BA7"/>
    <w:rsid w:val="00310C00"/>
    <w:rsid w:val="00310E2F"/>
    <w:rsid w:val="003122A6"/>
    <w:rsid w:val="00312C82"/>
    <w:rsid w:val="0031571C"/>
    <w:rsid w:val="00315F5F"/>
    <w:rsid w:val="003160DC"/>
    <w:rsid w:val="003166A2"/>
    <w:rsid w:val="00316B15"/>
    <w:rsid w:val="00317CBA"/>
    <w:rsid w:val="00321125"/>
    <w:rsid w:val="003212F2"/>
    <w:rsid w:val="00324B89"/>
    <w:rsid w:val="003253F8"/>
    <w:rsid w:val="00326460"/>
    <w:rsid w:val="00327B5B"/>
    <w:rsid w:val="00330D6D"/>
    <w:rsid w:val="0033229D"/>
    <w:rsid w:val="00332FFB"/>
    <w:rsid w:val="003334DC"/>
    <w:rsid w:val="003336FD"/>
    <w:rsid w:val="003339BC"/>
    <w:rsid w:val="00335D26"/>
    <w:rsid w:val="003361A6"/>
    <w:rsid w:val="003400CE"/>
    <w:rsid w:val="003407B6"/>
    <w:rsid w:val="0034410A"/>
    <w:rsid w:val="0034469A"/>
    <w:rsid w:val="00344BE4"/>
    <w:rsid w:val="0034654A"/>
    <w:rsid w:val="003465F4"/>
    <w:rsid w:val="0034762E"/>
    <w:rsid w:val="003513B7"/>
    <w:rsid w:val="00351987"/>
    <w:rsid w:val="00353872"/>
    <w:rsid w:val="003542FD"/>
    <w:rsid w:val="0035447E"/>
    <w:rsid w:val="003562B2"/>
    <w:rsid w:val="00360205"/>
    <w:rsid w:val="00360972"/>
    <w:rsid w:val="003610C7"/>
    <w:rsid w:val="00361395"/>
    <w:rsid w:val="00362498"/>
    <w:rsid w:val="003634F6"/>
    <w:rsid w:val="00363E6F"/>
    <w:rsid w:val="003647C7"/>
    <w:rsid w:val="00364C05"/>
    <w:rsid w:val="00365787"/>
    <w:rsid w:val="00365DF3"/>
    <w:rsid w:val="0037106C"/>
    <w:rsid w:val="003725B2"/>
    <w:rsid w:val="00372B54"/>
    <w:rsid w:val="00372C15"/>
    <w:rsid w:val="00372C7C"/>
    <w:rsid w:val="0037521A"/>
    <w:rsid w:val="003801FC"/>
    <w:rsid w:val="00382C71"/>
    <w:rsid w:val="00383136"/>
    <w:rsid w:val="0038375D"/>
    <w:rsid w:val="00384521"/>
    <w:rsid w:val="0038698D"/>
    <w:rsid w:val="00391007"/>
    <w:rsid w:val="00392CA7"/>
    <w:rsid w:val="00392D1A"/>
    <w:rsid w:val="003939EE"/>
    <w:rsid w:val="003973D0"/>
    <w:rsid w:val="00397732"/>
    <w:rsid w:val="00397B94"/>
    <w:rsid w:val="00397F27"/>
    <w:rsid w:val="003A0B66"/>
    <w:rsid w:val="003A3AB4"/>
    <w:rsid w:val="003A3FFE"/>
    <w:rsid w:val="003A4A28"/>
    <w:rsid w:val="003A4B95"/>
    <w:rsid w:val="003A566D"/>
    <w:rsid w:val="003A723D"/>
    <w:rsid w:val="003A785C"/>
    <w:rsid w:val="003A7EF0"/>
    <w:rsid w:val="003B0B5E"/>
    <w:rsid w:val="003B23EB"/>
    <w:rsid w:val="003B5FDF"/>
    <w:rsid w:val="003B6A50"/>
    <w:rsid w:val="003B76F9"/>
    <w:rsid w:val="003C0061"/>
    <w:rsid w:val="003C0634"/>
    <w:rsid w:val="003C12CA"/>
    <w:rsid w:val="003C1E27"/>
    <w:rsid w:val="003C30B3"/>
    <w:rsid w:val="003C3F34"/>
    <w:rsid w:val="003C3FB3"/>
    <w:rsid w:val="003C4A70"/>
    <w:rsid w:val="003C5225"/>
    <w:rsid w:val="003C5B93"/>
    <w:rsid w:val="003C6D93"/>
    <w:rsid w:val="003D0F0B"/>
    <w:rsid w:val="003D1674"/>
    <w:rsid w:val="003D2544"/>
    <w:rsid w:val="003D2552"/>
    <w:rsid w:val="003D2FCC"/>
    <w:rsid w:val="003D4237"/>
    <w:rsid w:val="003D71CE"/>
    <w:rsid w:val="003E0128"/>
    <w:rsid w:val="003E1A01"/>
    <w:rsid w:val="003E4DDB"/>
    <w:rsid w:val="003E53A0"/>
    <w:rsid w:val="003E5FDF"/>
    <w:rsid w:val="003E6CCB"/>
    <w:rsid w:val="003E7769"/>
    <w:rsid w:val="003E7F5C"/>
    <w:rsid w:val="003F1213"/>
    <w:rsid w:val="003F1609"/>
    <w:rsid w:val="003F1741"/>
    <w:rsid w:val="003F2494"/>
    <w:rsid w:val="003F30F6"/>
    <w:rsid w:val="003F3D36"/>
    <w:rsid w:val="003F6119"/>
    <w:rsid w:val="00400086"/>
    <w:rsid w:val="004004B6"/>
    <w:rsid w:val="00401FB7"/>
    <w:rsid w:val="0040202A"/>
    <w:rsid w:val="00402611"/>
    <w:rsid w:val="00402DA1"/>
    <w:rsid w:val="00404685"/>
    <w:rsid w:val="004050C4"/>
    <w:rsid w:val="004064BF"/>
    <w:rsid w:val="00407A9C"/>
    <w:rsid w:val="004104B3"/>
    <w:rsid w:val="00412698"/>
    <w:rsid w:val="00412C03"/>
    <w:rsid w:val="004140A5"/>
    <w:rsid w:val="00414541"/>
    <w:rsid w:val="004145F3"/>
    <w:rsid w:val="00414E37"/>
    <w:rsid w:val="00414F27"/>
    <w:rsid w:val="0041598E"/>
    <w:rsid w:val="004200FB"/>
    <w:rsid w:val="00420F74"/>
    <w:rsid w:val="004253AD"/>
    <w:rsid w:val="004272D7"/>
    <w:rsid w:val="0042798F"/>
    <w:rsid w:val="00431025"/>
    <w:rsid w:val="00433E92"/>
    <w:rsid w:val="0043429D"/>
    <w:rsid w:val="0044095B"/>
    <w:rsid w:val="00442060"/>
    <w:rsid w:val="004425FC"/>
    <w:rsid w:val="00444AC2"/>
    <w:rsid w:val="0044500E"/>
    <w:rsid w:val="00445670"/>
    <w:rsid w:val="004464AC"/>
    <w:rsid w:val="00446A0B"/>
    <w:rsid w:val="00447114"/>
    <w:rsid w:val="00451692"/>
    <w:rsid w:val="004519FD"/>
    <w:rsid w:val="004526C2"/>
    <w:rsid w:val="0045363D"/>
    <w:rsid w:val="00455008"/>
    <w:rsid w:val="0045516F"/>
    <w:rsid w:val="00455CF1"/>
    <w:rsid w:val="004569EB"/>
    <w:rsid w:val="00457493"/>
    <w:rsid w:val="00461953"/>
    <w:rsid w:val="004646EA"/>
    <w:rsid w:val="00465CD6"/>
    <w:rsid w:val="00466630"/>
    <w:rsid w:val="00466AF5"/>
    <w:rsid w:val="004674E7"/>
    <w:rsid w:val="00467719"/>
    <w:rsid w:val="004678CC"/>
    <w:rsid w:val="00471861"/>
    <w:rsid w:val="0047268F"/>
    <w:rsid w:val="00472A73"/>
    <w:rsid w:val="0047496C"/>
    <w:rsid w:val="00474DE1"/>
    <w:rsid w:val="004759F6"/>
    <w:rsid w:val="0047673A"/>
    <w:rsid w:val="004805B8"/>
    <w:rsid w:val="00482251"/>
    <w:rsid w:val="00482BFF"/>
    <w:rsid w:val="00482E2B"/>
    <w:rsid w:val="00484D20"/>
    <w:rsid w:val="0048653E"/>
    <w:rsid w:val="00487485"/>
    <w:rsid w:val="00487AEE"/>
    <w:rsid w:val="00487C7B"/>
    <w:rsid w:val="004933BB"/>
    <w:rsid w:val="00493F4C"/>
    <w:rsid w:val="00496ED2"/>
    <w:rsid w:val="00497036"/>
    <w:rsid w:val="00497219"/>
    <w:rsid w:val="004A08F5"/>
    <w:rsid w:val="004A101E"/>
    <w:rsid w:val="004A2CD8"/>
    <w:rsid w:val="004A3777"/>
    <w:rsid w:val="004A3881"/>
    <w:rsid w:val="004A4AB4"/>
    <w:rsid w:val="004A4F86"/>
    <w:rsid w:val="004A5C6D"/>
    <w:rsid w:val="004A5D86"/>
    <w:rsid w:val="004A5FD6"/>
    <w:rsid w:val="004A6AB0"/>
    <w:rsid w:val="004B068B"/>
    <w:rsid w:val="004B086F"/>
    <w:rsid w:val="004B2105"/>
    <w:rsid w:val="004B581D"/>
    <w:rsid w:val="004B6282"/>
    <w:rsid w:val="004B6B68"/>
    <w:rsid w:val="004B6C96"/>
    <w:rsid w:val="004C126F"/>
    <w:rsid w:val="004C2F10"/>
    <w:rsid w:val="004C2F52"/>
    <w:rsid w:val="004C2FC5"/>
    <w:rsid w:val="004C3C03"/>
    <w:rsid w:val="004C49BC"/>
    <w:rsid w:val="004C4B3B"/>
    <w:rsid w:val="004C5650"/>
    <w:rsid w:val="004D0559"/>
    <w:rsid w:val="004D05AC"/>
    <w:rsid w:val="004D16FE"/>
    <w:rsid w:val="004D3A21"/>
    <w:rsid w:val="004D4CDD"/>
    <w:rsid w:val="004D5091"/>
    <w:rsid w:val="004D56F4"/>
    <w:rsid w:val="004D778B"/>
    <w:rsid w:val="004E010B"/>
    <w:rsid w:val="004E2FD8"/>
    <w:rsid w:val="004E648E"/>
    <w:rsid w:val="004E76E8"/>
    <w:rsid w:val="004E7B9D"/>
    <w:rsid w:val="004E7F78"/>
    <w:rsid w:val="004E7FFC"/>
    <w:rsid w:val="004F0035"/>
    <w:rsid w:val="004F2DE5"/>
    <w:rsid w:val="004F348A"/>
    <w:rsid w:val="004F3A07"/>
    <w:rsid w:val="004F3EC5"/>
    <w:rsid w:val="004F564F"/>
    <w:rsid w:val="00500994"/>
    <w:rsid w:val="0050166B"/>
    <w:rsid w:val="005021BC"/>
    <w:rsid w:val="0051052A"/>
    <w:rsid w:val="00511B95"/>
    <w:rsid w:val="00512148"/>
    <w:rsid w:val="00512898"/>
    <w:rsid w:val="0051643D"/>
    <w:rsid w:val="005173A4"/>
    <w:rsid w:val="00517536"/>
    <w:rsid w:val="00521AA7"/>
    <w:rsid w:val="00523011"/>
    <w:rsid w:val="005230DD"/>
    <w:rsid w:val="00524D2B"/>
    <w:rsid w:val="0052520C"/>
    <w:rsid w:val="005254A5"/>
    <w:rsid w:val="00526E5C"/>
    <w:rsid w:val="00535462"/>
    <w:rsid w:val="0053550D"/>
    <w:rsid w:val="0053634A"/>
    <w:rsid w:val="005363B6"/>
    <w:rsid w:val="005368E5"/>
    <w:rsid w:val="00541403"/>
    <w:rsid w:val="005417D5"/>
    <w:rsid w:val="005420E0"/>
    <w:rsid w:val="005421DE"/>
    <w:rsid w:val="005434B2"/>
    <w:rsid w:val="00543F8B"/>
    <w:rsid w:val="00545220"/>
    <w:rsid w:val="005458C1"/>
    <w:rsid w:val="00547ED0"/>
    <w:rsid w:val="00547F9A"/>
    <w:rsid w:val="005505AA"/>
    <w:rsid w:val="00550E24"/>
    <w:rsid w:val="005516D1"/>
    <w:rsid w:val="00551982"/>
    <w:rsid w:val="00552B1D"/>
    <w:rsid w:val="00553853"/>
    <w:rsid w:val="00555484"/>
    <w:rsid w:val="00557600"/>
    <w:rsid w:val="00557AC2"/>
    <w:rsid w:val="005618F9"/>
    <w:rsid w:val="00563405"/>
    <w:rsid w:val="00563E3A"/>
    <w:rsid w:val="00563E66"/>
    <w:rsid w:val="00564231"/>
    <w:rsid w:val="00564E19"/>
    <w:rsid w:val="0056514A"/>
    <w:rsid w:val="0056522F"/>
    <w:rsid w:val="0056558F"/>
    <w:rsid w:val="00565F22"/>
    <w:rsid w:val="0056636F"/>
    <w:rsid w:val="00566BE7"/>
    <w:rsid w:val="00567ABF"/>
    <w:rsid w:val="00567FD2"/>
    <w:rsid w:val="005706BA"/>
    <w:rsid w:val="00573493"/>
    <w:rsid w:val="005734D6"/>
    <w:rsid w:val="00575EBC"/>
    <w:rsid w:val="00576FB6"/>
    <w:rsid w:val="005772EC"/>
    <w:rsid w:val="0057759F"/>
    <w:rsid w:val="00577B1A"/>
    <w:rsid w:val="00577B2F"/>
    <w:rsid w:val="005837F2"/>
    <w:rsid w:val="005855B7"/>
    <w:rsid w:val="00585843"/>
    <w:rsid w:val="005864F5"/>
    <w:rsid w:val="005904A9"/>
    <w:rsid w:val="00591DFD"/>
    <w:rsid w:val="00592364"/>
    <w:rsid w:val="00594592"/>
    <w:rsid w:val="00595320"/>
    <w:rsid w:val="0059649A"/>
    <w:rsid w:val="00596C1F"/>
    <w:rsid w:val="00597093"/>
    <w:rsid w:val="005979B5"/>
    <w:rsid w:val="005A194B"/>
    <w:rsid w:val="005A4474"/>
    <w:rsid w:val="005A5056"/>
    <w:rsid w:val="005A63B0"/>
    <w:rsid w:val="005A7997"/>
    <w:rsid w:val="005B0141"/>
    <w:rsid w:val="005B077C"/>
    <w:rsid w:val="005B0CAC"/>
    <w:rsid w:val="005B3450"/>
    <w:rsid w:val="005B4C7B"/>
    <w:rsid w:val="005B5613"/>
    <w:rsid w:val="005B652E"/>
    <w:rsid w:val="005C0B21"/>
    <w:rsid w:val="005C1A1D"/>
    <w:rsid w:val="005C1EF7"/>
    <w:rsid w:val="005C35CC"/>
    <w:rsid w:val="005C37B5"/>
    <w:rsid w:val="005C3E79"/>
    <w:rsid w:val="005C41CC"/>
    <w:rsid w:val="005C4363"/>
    <w:rsid w:val="005C4681"/>
    <w:rsid w:val="005C4B4D"/>
    <w:rsid w:val="005C74B1"/>
    <w:rsid w:val="005C7E9D"/>
    <w:rsid w:val="005D1208"/>
    <w:rsid w:val="005D3E29"/>
    <w:rsid w:val="005D4279"/>
    <w:rsid w:val="005D5731"/>
    <w:rsid w:val="005D60D6"/>
    <w:rsid w:val="005D68A5"/>
    <w:rsid w:val="005D78C5"/>
    <w:rsid w:val="005E17D5"/>
    <w:rsid w:val="005E31F8"/>
    <w:rsid w:val="005E383C"/>
    <w:rsid w:val="005E3E9A"/>
    <w:rsid w:val="005E43B2"/>
    <w:rsid w:val="005E48DE"/>
    <w:rsid w:val="005E64A3"/>
    <w:rsid w:val="005E69FE"/>
    <w:rsid w:val="005F0A24"/>
    <w:rsid w:val="005F0AF7"/>
    <w:rsid w:val="005F1527"/>
    <w:rsid w:val="005F585E"/>
    <w:rsid w:val="005F6508"/>
    <w:rsid w:val="005F7FF4"/>
    <w:rsid w:val="006014A7"/>
    <w:rsid w:val="00604770"/>
    <w:rsid w:val="00604FFD"/>
    <w:rsid w:val="00610CC1"/>
    <w:rsid w:val="00610E8A"/>
    <w:rsid w:val="00610FE9"/>
    <w:rsid w:val="00611126"/>
    <w:rsid w:val="006128AD"/>
    <w:rsid w:val="00613ED4"/>
    <w:rsid w:val="00614918"/>
    <w:rsid w:val="00614B3E"/>
    <w:rsid w:val="00614D4C"/>
    <w:rsid w:val="006152E5"/>
    <w:rsid w:val="006175CB"/>
    <w:rsid w:val="006207B9"/>
    <w:rsid w:val="00620886"/>
    <w:rsid w:val="00622CBB"/>
    <w:rsid w:val="0062349B"/>
    <w:rsid w:val="00623BE5"/>
    <w:rsid w:val="00623C95"/>
    <w:rsid w:val="00624148"/>
    <w:rsid w:val="0062429F"/>
    <w:rsid w:val="006248D4"/>
    <w:rsid w:val="006249F8"/>
    <w:rsid w:val="00625BAE"/>
    <w:rsid w:val="00627030"/>
    <w:rsid w:val="006300F4"/>
    <w:rsid w:val="006306A6"/>
    <w:rsid w:val="00631301"/>
    <w:rsid w:val="00634F64"/>
    <w:rsid w:val="0063569E"/>
    <w:rsid w:val="006367EF"/>
    <w:rsid w:val="00636D46"/>
    <w:rsid w:val="00636F1A"/>
    <w:rsid w:val="006408FC"/>
    <w:rsid w:val="00641449"/>
    <w:rsid w:val="00641749"/>
    <w:rsid w:val="006447C2"/>
    <w:rsid w:val="00644E2C"/>
    <w:rsid w:val="00645835"/>
    <w:rsid w:val="0064586A"/>
    <w:rsid w:val="0064696E"/>
    <w:rsid w:val="00651071"/>
    <w:rsid w:val="006512C6"/>
    <w:rsid w:val="0065141C"/>
    <w:rsid w:val="0065170B"/>
    <w:rsid w:val="00652390"/>
    <w:rsid w:val="00653BC1"/>
    <w:rsid w:val="00654DEA"/>
    <w:rsid w:val="00655816"/>
    <w:rsid w:val="006574DB"/>
    <w:rsid w:val="00657A2B"/>
    <w:rsid w:val="00661D11"/>
    <w:rsid w:val="00661DA6"/>
    <w:rsid w:val="00662632"/>
    <w:rsid w:val="00663948"/>
    <w:rsid w:val="00665577"/>
    <w:rsid w:val="006659BF"/>
    <w:rsid w:val="006663A5"/>
    <w:rsid w:val="00666B81"/>
    <w:rsid w:val="0066733F"/>
    <w:rsid w:val="006673EC"/>
    <w:rsid w:val="00670E57"/>
    <w:rsid w:val="00674C2B"/>
    <w:rsid w:val="006773A8"/>
    <w:rsid w:val="006774A1"/>
    <w:rsid w:val="00677B7C"/>
    <w:rsid w:val="006804FF"/>
    <w:rsid w:val="00681162"/>
    <w:rsid w:val="00685241"/>
    <w:rsid w:val="00685463"/>
    <w:rsid w:val="00685A62"/>
    <w:rsid w:val="0068704B"/>
    <w:rsid w:val="00687DFD"/>
    <w:rsid w:val="006902C0"/>
    <w:rsid w:val="00691F02"/>
    <w:rsid w:val="00692720"/>
    <w:rsid w:val="00692ECC"/>
    <w:rsid w:val="006931FF"/>
    <w:rsid w:val="00693EBD"/>
    <w:rsid w:val="00697243"/>
    <w:rsid w:val="00697CAE"/>
    <w:rsid w:val="006A0A6F"/>
    <w:rsid w:val="006A21AB"/>
    <w:rsid w:val="006A3444"/>
    <w:rsid w:val="006A4230"/>
    <w:rsid w:val="006A4BCE"/>
    <w:rsid w:val="006A57B8"/>
    <w:rsid w:val="006A6038"/>
    <w:rsid w:val="006A7B81"/>
    <w:rsid w:val="006B05DD"/>
    <w:rsid w:val="006B0E48"/>
    <w:rsid w:val="006B2FAC"/>
    <w:rsid w:val="006B421C"/>
    <w:rsid w:val="006B642D"/>
    <w:rsid w:val="006B6CC6"/>
    <w:rsid w:val="006B6DBC"/>
    <w:rsid w:val="006B6EA1"/>
    <w:rsid w:val="006B7196"/>
    <w:rsid w:val="006C033A"/>
    <w:rsid w:val="006C14B1"/>
    <w:rsid w:val="006C25B3"/>
    <w:rsid w:val="006C27D3"/>
    <w:rsid w:val="006C429F"/>
    <w:rsid w:val="006C45C3"/>
    <w:rsid w:val="006C53EE"/>
    <w:rsid w:val="006C5736"/>
    <w:rsid w:val="006C691B"/>
    <w:rsid w:val="006C762E"/>
    <w:rsid w:val="006D0C60"/>
    <w:rsid w:val="006D0D50"/>
    <w:rsid w:val="006D1475"/>
    <w:rsid w:val="006D229D"/>
    <w:rsid w:val="006D43D0"/>
    <w:rsid w:val="006E04C5"/>
    <w:rsid w:val="006E13CB"/>
    <w:rsid w:val="006E211A"/>
    <w:rsid w:val="006E25C8"/>
    <w:rsid w:val="006E548A"/>
    <w:rsid w:val="006E5E25"/>
    <w:rsid w:val="006E65F5"/>
    <w:rsid w:val="006E74FB"/>
    <w:rsid w:val="006E7691"/>
    <w:rsid w:val="006F0B9E"/>
    <w:rsid w:val="006F157A"/>
    <w:rsid w:val="006F19BF"/>
    <w:rsid w:val="006F3D5B"/>
    <w:rsid w:val="006F4F9A"/>
    <w:rsid w:val="006F6A29"/>
    <w:rsid w:val="006F7F1B"/>
    <w:rsid w:val="00703414"/>
    <w:rsid w:val="00704ADC"/>
    <w:rsid w:val="00705825"/>
    <w:rsid w:val="00706223"/>
    <w:rsid w:val="007063A9"/>
    <w:rsid w:val="00707F7C"/>
    <w:rsid w:val="007103C3"/>
    <w:rsid w:val="00710827"/>
    <w:rsid w:val="00711226"/>
    <w:rsid w:val="00712362"/>
    <w:rsid w:val="00717EA0"/>
    <w:rsid w:val="00725C13"/>
    <w:rsid w:val="00725FC9"/>
    <w:rsid w:val="007266F4"/>
    <w:rsid w:val="007302D5"/>
    <w:rsid w:val="00732AAD"/>
    <w:rsid w:val="007341AE"/>
    <w:rsid w:val="00734A43"/>
    <w:rsid w:val="00735E07"/>
    <w:rsid w:val="00741457"/>
    <w:rsid w:val="00741BAF"/>
    <w:rsid w:val="00742BA7"/>
    <w:rsid w:val="007440A3"/>
    <w:rsid w:val="0074446D"/>
    <w:rsid w:val="00745B24"/>
    <w:rsid w:val="00747D12"/>
    <w:rsid w:val="0075145F"/>
    <w:rsid w:val="00752271"/>
    <w:rsid w:val="00752FBF"/>
    <w:rsid w:val="007549E9"/>
    <w:rsid w:val="007552C0"/>
    <w:rsid w:val="00755B2D"/>
    <w:rsid w:val="00761051"/>
    <w:rsid w:val="007639A4"/>
    <w:rsid w:val="0076467B"/>
    <w:rsid w:val="007657E5"/>
    <w:rsid w:val="00766031"/>
    <w:rsid w:val="00767E98"/>
    <w:rsid w:val="007711F9"/>
    <w:rsid w:val="007713F8"/>
    <w:rsid w:val="00771654"/>
    <w:rsid w:val="00773A7E"/>
    <w:rsid w:val="00774D68"/>
    <w:rsid w:val="00777D77"/>
    <w:rsid w:val="0078083B"/>
    <w:rsid w:val="007817EB"/>
    <w:rsid w:val="00781CA0"/>
    <w:rsid w:val="00783720"/>
    <w:rsid w:val="00783945"/>
    <w:rsid w:val="007847D1"/>
    <w:rsid w:val="00785840"/>
    <w:rsid w:val="00787037"/>
    <w:rsid w:val="007879AF"/>
    <w:rsid w:val="00790BDB"/>
    <w:rsid w:val="00794D4D"/>
    <w:rsid w:val="00794D96"/>
    <w:rsid w:val="0079508D"/>
    <w:rsid w:val="00795A44"/>
    <w:rsid w:val="00795C7F"/>
    <w:rsid w:val="0079681A"/>
    <w:rsid w:val="007968E7"/>
    <w:rsid w:val="00797778"/>
    <w:rsid w:val="007A3589"/>
    <w:rsid w:val="007A4309"/>
    <w:rsid w:val="007A51F2"/>
    <w:rsid w:val="007A563F"/>
    <w:rsid w:val="007A6807"/>
    <w:rsid w:val="007B0473"/>
    <w:rsid w:val="007B15E3"/>
    <w:rsid w:val="007B1DA2"/>
    <w:rsid w:val="007B1EB5"/>
    <w:rsid w:val="007B3EF0"/>
    <w:rsid w:val="007B4352"/>
    <w:rsid w:val="007B4BF9"/>
    <w:rsid w:val="007B506D"/>
    <w:rsid w:val="007B6B8C"/>
    <w:rsid w:val="007C046D"/>
    <w:rsid w:val="007C1210"/>
    <w:rsid w:val="007C2BF8"/>
    <w:rsid w:val="007C4997"/>
    <w:rsid w:val="007C5275"/>
    <w:rsid w:val="007C54FB"/>
    <w:rsid w:val="007C5D58"/>
    <w:rsid w:val="007C7E10"/>
    <w:rsid w:val="007D1199"/>
    <w:rsid w:val="007D2B8E"/>
    <w:rsid w:val="007D4215"/>
    <w:rsid w:val="007D45BF"/>
    <w:rsid w:val="007D75D1"/>
    <w:rsid w:val="007D7730"/>
    <w:rsid w:val="007D784C"/>
    <w:rsid w:val="007E0B3F"/>
    <w:rsid w:val="007E0F38"/>
    <w:rsid w:val="007E1126"/>
    <w:rsid w:val="007E22D5"/>
    <w:rsid w:val="007E2998"/>
    <w:rsid w:val="007E60FD"/>
    <w:rsid w:val="007E725B"/>
    <w:rsid w:val="007F0155"/>
    <w:rsid w:val="007F414F"/>
    <w:rsid w:val="007F49D7"/>
    <w:rsid w:val="007F5789"/>
    <w:rsid w:val="007F612D"/>
    <w:rsid w:val="007F6B41"/>
    <w:rsid w:val="007F6F74"/>
    <w:rsid w:val="00801D61"/>
    <w:rsid w:val="00801FA0"/>
    <w:rsid w:val="008044BB"/>
    <w:rsid w:val="008064BE"/>
    <w:rsid w:val="00812EC1"/>
    <w:rsid w:val="0081318D"/>
    <w:rsid w:val="00813976"/>
    <w:rsid w:val="00815738"/>
    <w:rsid w:val="00816A98"/>
    <w:rsid w:val="00817B77"/>
    <w:rsid w:val="00817E19"/>
    <w:rsid w:val="008245EE"/>
    <w:rsid w:val="00825E0C"/>
    <w:rsid w:val="00826493"/>
    <w:rsid w:val="0082653B"/>
    <w:rsid w:val="008265C4"/>
    <w:rsid w:val="00827D37"/>
    <w:rsid w:val="0083162A"/>
    <w:rsid w:val="00831E5C"/>
    <w:rsid w:val="008341B4"/>
    <w:rsid w:val="00835580"/>
    <w:rsid w:val="00836E02"/>
    <w:rsid w:val="00836E10"/>
    <w:rsid w:val="00842745"/>
    <w:rsid w:val="00843596"/>
    <w:rsid w:val="00843756"/>
    <w:rsid w:val="00843BEF"/>
    <w:rsid w:val="00844139"/>
    <w:rsid w:val="00844B03"/>
    <w:rsid w:val="00847DA1"/>
    <w:rsid w:val="0085099D"/>
    <w:rsid w:val="00850EA8"/>
    <w:rsid w:val="00857630"/>
    <w:rsid w:val="008619CD"/>
    <w:rsid w:val="0086330F"/>
    <w:rsid w:val="00864BD8"/>
    <w:rsid w:val="00865737"/>
    <w:rsid w:val="00871491"/>
    <w:rsid w:val="00871B29"/>
    <w:rsid w:val="00871EA4"/>
    <w:rsid w:val="0087288A"/>
    <w:rsid w:val="00872A8B"/>
    <w:rsid w:val="008758C7"/>
    <w:rsid w:val="00875A22"/>
    <w:rsid w:val="008766CD"/>
    <w:rsid w:val="0087755B"/>
    <w:rsid w:val="0087772C"/>
    <w:rsid w:val="00881A69"/>
    <w:rsid w:val="008842E3"/>
    <w:rsid w:val="00884FCD"/>
    <w:rsid w:val="00885F52"/>
    <w:rsid w:val="00886650"/>
    <w:rsid w:val="00886F42"/>
    <w:rsid w:val="00887C17"/>
    <w:rsid w:val="00890CF7"/>
    <w:rsid w:val="008917AC"/>
    <w:rsid w:val="00891A7C"/>
    <w:rsid w:val="008924DD"/>
    <w:rsid w:val="00893862"/>
    <w:rsid w:val="00894ACB"/>
    <w:rsid w:val="00894C74"/>
    <w:rsid w:val="00894C7D"/>
    <w:rsid w:val="00895921"/>
    <w:rsid w:val="00895F50"/>
    <w:rsid w:val="0089713E"/>
    <w:rsid w:val="00897158"/>
    <w:rsid w:val="008A0969"/>
    <w:rsid w:val="008A130C"/>
    <w:rsid w:val="008A193D"/>
    <w:rsid w:val="008A2766"/>
    <w:rsid w:val="008A45D7"/>
    <w:rsid w:val="008A4CEE"/>
    <w:rsid w:val="008A4E19"/>
    <w:rsid w:val="008A6AF1"/>
    <w:rsid w:val="008A6D8B"/>
    <w:rsid w:val="008A7332"/>
    <w:rsid w:val="008A7E24"/>
    <w:rsid w:val="008B3347"/>
    <w:rsid w:val="008B3669"/>
    <w:rsid w:val="008B45C7"/>
    <w:rsid w:val="008B544A"/>
    <w:rsid w:val="008B56F2"/>
    <w:rsid w:val="008B6B31"/>
    <w:rsid w:val="008B6F19"/>
    <w:rsid w:val="008B748E"/>
    <w:rsid w:val="008C4E1E"/>
    <w:rsid w:val="008D1763"/>
    <w:rsid w:val="008D36DC"/>
    <w:rsid w:val="008D41BD"/>
    <w:rsid w:val="008D4C7D"/>
    <w:rsid w:val="008D5DEA"/>
    <w:rsid w:val="008D6779"/>
    <w:rsid w:val="008D76DE"/>
    <w:rsid w:val="008E02D5"/>
    <w:rsid w:val="008E0318"/>
    <w:rsid w:val="008E08DB"/>
    <w:rsid w:val="008E1B7C"/>
    <w:rsid w:val="008E484D"/>
    <w:rsid w:val="008E6DF5"/>
    <w:rsid w:val="008E7432"/>
    <w:rsid w:val="008F0A37"/>
    <w:rsid w:val="008F0CCC"/>
    <w:rsid w:val="008F1243"/>
    <w:rsid w:val="008F1724"/>
    <w:rsid w:val="008F307E"/>
    <w:rsid w:val="008F3439"/>
    <w:rsid w:val="008F3526"/>
    <w:rsid w:val="008F48AA"/>
    <w:rsid w:val="008F5361"/>
    <w:rsid w:val="008F59E2"/>
    <w:rsid w:val="008F5DF9"/>
    <w:rsid w:val="008F5EC0"/>
    <w:rsid w:val="008F72AB"/>
    <w:rsid w:val="009013CC"/>
    <w:rsid w:val="009048A4"/>
    <w:rsid w:val="00904A6A"/>
    <w:rsid w:val="009055C2"/>
    <w:rsid w:val="009059BF"/>
    <w:rsid w:val="00905D55"/>
    <w:rsid w:val="009069B7"/>
    <w:rsid w:val="00906CF0"/>
    <w:rsid w:val="00907689"/>
    <w:rsid w:val="00907C07"/>
    <w:rsid w:val="009116FC"/>
    <w:rsid w:val="009129AC"/>
    <w:rsid w:val="00912CF7"/>
    <w:rsid w:val="00913AF8"/>
    <w:rsid w:val="00914EF9"/>
    <w:rsid w:val="00914F52"/>
    <w:rsid w:val="00916749"/>
    <w:rsid w:val="00916AEE"/>
    <w:rsid w:val="00917168"/>
    <w:rsid w:val="009201EC"/>
    <w:rsid w:val="00920442"/>
    <w:rsid w:val="00920B66"/>
    <w:rsid w:val="009236A0"/>
    <w:rsid w:val="00924D05"/>
    <w:rsid w:val="00926043"/>
    <w:rsid w:val="00926B7F"/>
    <w:rsid w:val="0092714F"/>
    <w:rsid w:val="00927366"/>
    <w:rsid w:val="00931C5B"/>
    <w:rsid w:val="00931F5C"/>
    <w:rsid w:val="00931F99"/>
    <w:rsid w:val="0093225D"/>
    <w:rsid w:val="00932A7D"/>
    <w:rsid w:val="00933E8C"/>
    <w:rsid w:val="00933F21"/>
    <w:rsid w:val="00934315"/>
    <w:rsid w:val="009352DD"/>
    <w:rsid w:val="00935F50"/>
    <w:rsid w:val="00941042"/>
    <w:rsid w:val="00943188"/>
    <w:rsid w:val="00943BFD"/>
    <w:rsid w:val="00944680"/>
    <w:rsid w:val="00945C2C"/>
    <w:rsid w:val="00947507"/>
    <w:rsid w:val="009476FD"/>
    <w:rsid w:val="00947E1B"/>
    <w:rsid w:val="009520CF"/>
    <w:rsid w:val="00954D4E"/>
    <w:rsid w:val="0095592B"/>
    <w:rsid w:val="00955B07"/>
    <w:rsid w:val="0095611B"/>
    <w:rsid w:val="00956CDD"/>
    <w:rsid w:val="0096006B"/>
    <w:rsid w:val="00960FEC"/>
    <w:rsid w:val="00961D5A"/>
    <w:rsid w:val="009621E7"/>
    <w:rsid w:val="009623E3"/>
    <w:rsid w:val="00963DDB"/>
    <w:rsid w:val="00965ACD"/>
    <w:rsid w:val="00965D72"/>
    <w:rsid w:val="00965DCF"/>
    <w:rsid w:val="009661BD"/>
    <w:rsid w:val="009713B9"/>
    <w:rsid w:val="0097150E"/>
    <w:rsid w:val="00971750"/>
    <w:rsid w:val="00972B55"/>
    <w:rsid w:val="00972FF9"/>
    <w:rsid w:val="0097348B"/>
    <w:rsid w:val="009740E6"/>
    <w:rsid w:val="00974D64"/>
    <w:rsid w:val="0098294D"/>
    <w:rsid w:val="009838EC"/>
    <w:rsid w:val="00984C37"/>
    <w:rsid w:val="00986140"/>
    <w:rsid w:val="009864F2"/>
    <w:rsid w:val="0099073D"/>
    <w:rsid w:val="00992137"/>
    <w:rsid w:val="00994348"/>
    <w:rsid w:val="0099507D"/>
    <w:rsid w:val="0099580D"/>
    <w:rsid w:val="00996695"/>
    <w:rsid w:val="00996BE1"/>
    <w:rsid w:val="009978EB"/>
    <w:rsid w:val="00997E85"/>
    <w:rsid w:val="009A1071"/>
    <w:rsid w:val="009A1DAB"/>
    <w:rsid w:val="009A22CF"/>
    <w:rsid w:val="009A35C8"/>
    <w:rsid w:val="009A6308"/>
    <w:rsid w:val="009B01DE"/>
    <w:rsid w:val="009B175E"/>
    <w:rsid w:val="009B22AB"/>
    <w:rsid w:val="009B2AD4"/>
    <w:rsid w:val="009B2C18"/>
    <w:rsid w:val="009B2E81"/>
    <w:rsid w:val="009B3095"/>
    <w:rsid w:val="009C0939"/>
    <w:rsid w:val="009C31CC"/>
    <w:rsid w:val="009C530E"/>
    <w:rsid w:val="009C67FE"/>
    <w:rsid w:val="009C73D0"/>
    <w:rsid w:val="009C7473"/>
    <w:rsid w:val="009D0D46"/>
    <w:rsid w:val="009D1E6C"/>
    <w:rsid w:val="009D441E"/>
    <w:rsid w:val="009E0557"/>
    <w:rsid w:val="009E1DED"/>
    <w:rsid w:val="009E2768"/>
    <w:rsid w:val="009E3055"/>
    <w:rsid w:val="009E3D29"/>
    <w:rsid w:val="009E428A"/>
    <w:rsid w:val="009E4472"/>
    <w:rsid w:val="009F07DF"/>
    <w:rsid w:val="009F09B6"/>
    <w:rsid w:val="009F12B8"/>
    <w:rsid w:val="009F24D5"/>
    <w:rsid w:val="009F3AAF"/>
    <w:rsid w:val="009F4512"/>
    <w:rsid w:val="009F550B"/>
    <w:rsid w:val="009F597B"/>
    <w:rsid w:val="00A0079A"/>
    <w:rsid w:val="00A01999"/>
    <w:rsid w:val="00A034F7"/>
    <w:rsid w:val="00A054D5"/>
    <w:rsid w:val="00A06453"/>
    <w:rsid w:val="00A0716F"/>
    <w:rsid w:val="00A10BE7"/>
    <w:rsid w:val="00A10F53"/>
    <w:rsid w:val="00A11571"/>
    <w:rsid w:val="00A140D5"/>
    <w:rsid w:val="00A14965"/>
    <w:rsid w:val="00A22183"/>
    <w:rsid w:val="00A2367C"/>
    <w:rsid w:val="00A276F6"/>
    <w:rsid w:val="00A309A1"/>
    <w:rsid w:val="00A30B01"/>
    <w:rsid w:val="00A31C12"/>
    <w:rsid w:val="00A31CF8"/>
    <w:rsid w:val="00A32E71"/>
    <w:rsid w:val="00A32F10"/>
    <w:rsid w:val="00A33026"/>
    <w:rsid w:val="00A3338F"/>
    <w:rsid w:val="00A346D1"/>
    <w:rsid w:val="00A357DA"/>
    <w:rsid w:val="00A358D8"/>
    <w:rsid w:val="00A36C8D"/>
    <w:rsid w:val="00A37F72"/>
    <w:rsid w:val="00A4126F"/>
    <w:rsid w:val="00A412A6"/>
    <w:rsid w:val="00A41E1B"/>
    <w:rsid w:val="00A42247"/>
    <w:rsid w:val="00A42AB3"/>
    <w:rsid w:val="00A4329E"/>
    <w:rsid w:val="00A43DCE"/>
    <w:rsid w:val="00A454B8"/>
    <w:rsid w:val="00A45834"/>
    <w:rsid w:val="00A45EDA"/>
    <w:rsid w:val="00A45F88"/>
    <w:rsid w:val="00A46420"/>
    <w:rsid w:val="00A47642"/>
    <w:rsid w:val="00A527EC"/>
    <w:rsid w:val="00A52807"/>
    <w:rsid w:val="00A5442C"/>
    <w:rsid w:val="00A54E1F"/>
    <w:rsid w:val="00A55AA3"/>
    <w:rsid w:val="00A56F26"/>
    <w:rsid w:val="00A57534"/>
    <w:rsid w:val="00A61A42"/>
    <w:rsid w:val="00A61A95"/>
    <w:rsid w:val="00A61B0B"/>
    <w:rsid w:val="00A6205E"/>
    <w:rsid w:val="00A6226F"/>
    <w:rsid w:val="00A632E4"/>
    <w:rsid w:val="00A641A3"/>
    <w:rsid w:val="00A67C06"/>
    <w:rsid w:val="00A717CF"/>
    <w:rsid w:val="00A71877"/>
    <w:rsid w:val="00A720D0"/>
    <w:rsid w:val="00A723E9"/>
    <w:rsid w:val="00A725AA"/>
    <w:rsid w:val="00A7274A"/>
    <w:rsid w:val="00A76EA6"/>
    <w:rsid w:val="00A80C7E"/>
    <w:rsid w:val="00A80D0A"/>
    <w:rsid w:val="00A81889"/>
    <w:rsid w:val="00A81BFE"/>
    <w:rsid w:val="00A84992"/>
    <w:rsid w:val="00A84F72"/>
    <w:rsid w:val="00A8503A"/>
    <w:rsid w:val="00A85BE4"/>
    <w:rsid w:val="00A86FC3"/>
    <w:rsid w:val="00A90659"/>
    <w:rsid w:val="00A94363"/>
    <w:rsid w:val="00A9449E"/>
    <w:rsid w:val="00A964E0"/>
    <w:rsid w:val="00AA1EE9"/>
    <w:rsid w:val="00AA2524"/>
    <w:rsid w:val="00AA3AC7"/>
    <w:rsid w:val="00AA3BEA"/>
    <w:rsid w:val="00AA459F"/>
    <w:rsid w:val="00AA4B46"/>
    <w:rsid w:val="00AA569B"/>
    <w:rsid w:val="00AA7C06"/>
    <w:rsid w:val="00AB008D"/>
    <w:rsid w:val="00AB0218"/>
    <w:rsid w:val="00AB02BF"/>
    <w:rsid w:val="00AB20E6"/>
    <w:rsid w:val="00AB2342"/>
    <w:rsid w:val="00AB311F"/>
    <w:rsid w:val="00AB3ED2"/>
    <w:rsid w:val="00AB3F69"/>
    <w:rsid w:val="00AB5DCE"/>
    <w:rsid w:val="00AC0020"/>
    <w:rsid w:val="00AC010D"/>
    <w:rsid w:val="00AC1EA2"/>
    <w:rsid w:val="00AC204D"/>
    <w:rsid w:val="00AC302F"/>
    <w:rsid w:val="00AC5314"/>
    <w:rsid w:val="00AC5643"/>
    <w:rsid w:val="00AC608B"/>
    <w:rsid w:val="00AC6A56"/>
    <w:rsid w:val="00AC6F92"/>
    <w:rsid w:val="00AC7B1C"/>
    <w:rsid w:val="00AD4A1A"/>
    <w:rsid w:val="00AD5779"/>
    <w:rsid w:val="00AD588D"/>
    <w:rsid w:val="00AD5B49"/>
    <w:rsid w:val="00AD6D4F"/>
    <w:rsid w:val="00AD6E46"/>
    <w:rsid w:val="00AD79F4"/>
    <w:rsid w:val="00AE077D"/>
    <w:rsid w:val="00AE14A7"/>
    <w:rsid w:val="00AE4B7A"/>
    <w:rsid w:val="00AE57EC"/>
    <w:rsid w:val="00AE5B7D"/>
    <w:rsid w:val="00AF2A19"/>
    <w:rsid w:val="00AF2D90"/>
    <w:rsid w:val="00AF4B69"/>
    <w:rsid w:val="00AF4D0F"/>
    <w:rsid w:val="00AF62DD"/>
    <w:rsid w:val="00AF6D4E"/>
    <w:rsid w:val="00AF792C"/>
    <w:rsid w:val="00B00E53"/>
    <w:rsid w:val="00B01E14"/>
    <w:rsid w:val="00B020F2"/>
    <w:rsid w:val="00B0377F"/>
    <w:rsid w:val="00B03E3A"/>
    <w:rsid w:val="00B063AB"/>
    <w:rsid w:val="00B0749F"/>
    <w:rsid w:val="00B07D98"/>
    <w:rsid w:val="00B11ADA"/>
    <w:rsid w:val="00B12128"/>
    <w:rsid w:val="00B12F8A"/>
    <w:rsid w:val="00B17244"/>
    <w:rsid w:val="00B17530"/>
    <w:rsid w:val="00B2192D"/>
    <w:rsid w:val="00B22550"/>
    <w:rsid w:val="00B2668C"/>
    <w:rsid w:val="00B3004A"/>
    <w:rsid w:val="00B32875"/>
    <w:rsid w:val="00B32B3C"/>
    <w:rsid w:val="00B338B7"/>
    <w:rsid w:val="00B36EB8"/>
    <w:rsid w:val="00B3725D"/>
    <w:rsid w:val="00B404F1"/>
    <w:rsid w:val="00B41050"/>
    <w:rsid w:val="00B41950"/>
    <w:rsid w:val="00B463E6"/>
    <w:rsid w:val="00B46D23"/>
    <w:rsid w:val="00B46F37"/>
    <w:rsid w:val="00B47178"/>
    <w:rsid w:val="00B4771B"/>
    <w:rsid w:val="00B47ECE"/>
    <w:rsid w:val="00B51E09"/>
    <w:rsid w:val="00B52095"/>
    <w:rsid w:val="00B522BF"/>
    <w:rsid w:val="00B5327C"/>
    <w:rsid w:val="00B53551"/>
    <w:rsid w:val="00B55D47"/>
    <w:rsid w:val="00B60B9E"/>
    <w:rsid w:val="00B628AD"/>
    <w:rsid w:val="00B62D01"/>
    <w:rsid w:val="00B64A2E"/>
    <w:rsid w:val="00B652F7"/>
    <w:rsid w:val="00B6543B"/>
    <w:rsid w:val="00B65A46"/>
    <w:rsid w:val="00B65EF2"/>
    <w:rsid w:val="00B670E3"/>
    <w:rsid w:val="00B6735D"/>
    <w:rsid w:val="00B67A92"/>
    <w:rsid w:val="00B707CE"/>
    <w:rsid w:val="00B7109E"/>
    <w:rsid w:val="00B7129A"/>
    <w:rsid w:val="00B716BC"/>
    <w:rsid w:val="00B71D81"/>
    <w:rsid w:val="00B72163"/>
    <w:rsid w:val="00B72C27"/>
    <w:rsid w:val="00B73BE6"/>
    <w:rsid w:val="00B74A00"/>
    <w:rsid w:val="00B750F4"/>
    <w:rsid w:val="00B767EE"/>
    <w:rsid w:val="00B776F4"/>
    <w:rsid w:val="00B77A13"/>
    <w:rsid w:val="00B80FF7"/>
    <w:rsid w:val="00B81B44"/>
    <w:rsid w:val="00B825DD"/>
    <w:rsid w:val="00B8299B"/>
    <w:rsid w:val="00B82AFD"/>
    <w:rsid w:val="00B84E0F"/>
    <w:rsid w:val="00B84ED3"/>
    <w:rsid w:val="00B85982"/>
    <w:rsid w:val="00B85B2C"/>
    <w:rsid w:val="00B85CB2"/>
    <w:rsid w:val="00B87C1F"/>
    <w:rsid w:val="00B906D2"/>
    <w:rsid w:val="00B90B1A"/>
    <w:rsid w:val="00B91690"/>
    <w:rsid w:val="00B91CF0"/>
    <w:rsid w:val="00B91F5B"/>
    <w:rsid w:val="00B92B5E"/>
    <w:rsid w:val="00B92E92"/>
    <w:rsid w:val="00B93025"/>
    <w:rsid w:val="00B945D7"/>
    <w:rsid w:val="00B94BAF"/>
    <w:rsid w:val="00B95749"/>
    <w:rsid w:val="00B96B25"/>
    <w:rsid w:val="00B97873"/>
    <w:rsid w:val="00BA0028"/>
    <w:rsid w:val="00BA02E8"/>
    <w:rsid w:val="00BA04C4"/>
    <w:rsid w:val="00BA04F8"/>
    <w:rsid w:val="00BA17A9"/>
    <w:rsid w:val="00BA1FFD"/>
    <w:rsid w:val="00BA25F1"/>
    <w:rsid w:val="00BA5E06"/>
    <w:rsid w:val="00BA611B"/>
    <w:rsid w:val="00BA72B8"/>
    <w:rsid w:val="00BB12DE"/>
    <w:rsid w:val="00BB17D5"/>
    <w:rsid w:val="00BB2E23"/>
    <w:rsid w:val="00BB3981"/>
    <w:rsid w:val="00BB4904"/>
    <w:rsid w:val="00BB4D7B"/>
    <w:rsid w:val="00BB6CB4"/>
    <w:rsid w:val="00BB6D14"/>
    <w:rsid w:val="00BB7939"/>
    <w:rsid w:val="00BB7A32"/>
    <w:rsid w:val="00BC14E0"/>
    <w:rsid w:val="00BC2FA1"/>
    <w:rsid w:val="00BC31AE"/>
    <w:rsid w:val="00BC404C"/>
    <w:rsid w:val="00BC51B7"/>
    <w:rsid w:val="00BC549B"/>
    <w:rsid w:val="00BC5EAB"/>
    <w:rsid w:val="00BC6692"/>
    <w:rsid w:val="00BC730A"/>
    <w:rsid w:val="00BC7905"/>
    <w:rsid w:val="00BC7BA5"/>
    <w:rsid w:val="00BC7CAA"/>
    <w:rsid w:val="00BD0D97"/>
    <w:rsid w:val="00BD0F87"/>
    <w:rsid w:val="00BD17F6"/>
    <w:rsid w:val="00BD1EDC"/>
    <w:rsid w:val="00BD3279"/>
    <w:rsid w:val="00BD56BB"/>
    <w:rsid w:val="00BD5BE5"/>
    <w:rsid w:val="00BD5C9C"/>
    <w:rsid w:val="00BD6221"/>
    <w:rsid w:val="00BD693B"/>
    <w:rsid w:val="00BD7CB2"/>
    <w:rsid w:val="00BD7EBB"/>
    <w:rsid w:val="00BE001E"/>
    <w:rsid w:val="00BE0991"/>
    <w:rsid w:val="00BE2418"/>
    <w:rsid w:val="00BE3426"/>
    <w:rsid w:val="00BE6BE0"/>
    <w:rsid w:val="00BE6E62"/>
    <w:rsid w:val="00BE70D4"/>
    <w:rsid w:val="00BF0EE2"/>
    <w:rsid w:val="00BF188D"/>
    <w:rsid w:val="00BF2424"/>
    <w:rsid w:val="00BF2C69"/>
    <w:rsid w:val="00BF414F"/>
    <w:rsid w:val="00BF4A3E"/>
    <w:rsid w:val="00BF57AC"/>
    <w:rsid w:val="00BF6246"/>
    <w:rsid w:val="00BF7057"/>
    <w:rsid w:val="00BF780F"/>
    <w:rsid w:val="00BF7FD7"/>
    <w:rsid w:val="00C00577"/>
    <w:rsid w:val="00C02D49"/>
    <w:rsid w:val="00C04014"/>
    <w:rsid w:val="00C04428"/>
    <w:rsid w:val="00C06F26"/>
    <w:rsid w:val="00C07278"/>
    <w:rsid w:val="00C15ADA"/>
    <w:rsid w:val="00C20941"/>
    <w:rsid w:val="00C21589"/>
    <w:rsid w:val="00C21F89"/>
    <w:rsid w:val="00C231F1"/>
    <w:rsid w:val="00C23C36"/>
    <w:rsid w:val="00C27020"/>
    <w:rsid w:val="00C27BED"/>
    <w:rsid w:val="00C32375"/>
    <w:rsid w:val="00C32845"/>
    <w:rsid w:val="00C33B84"/>
    <w:rsid w:val="00C35D65"/>
    <w:rsid w:val="00C35D78"/>
    <w:rsid w:val="00C36AD8"/>
    <w:rsid w:val="00C36FAF"/>
    <w:rsid w:val="00C420BF"/>
    <w:rsid w:val="00C45837"/>
    <w:rsid w:val="00C522E9"/>
    <w:rsid w:val="00C524C8"/>
    <w:rsid w:val="00C53CC6"/>
    <w:rsid w:val="00C54011"/>
    <w:rsid w:val="00C56D50"/>
    <w:rsid w:val="00C56F47"/>
    <w:rsid w:val="00C60B9F"/>
    <w:rsid w:val="00C617EC"/>
    <w:rsid w:val="00C61A1D"/>
    <w:rsid w:val="00C6439E"/>
    <w:rsid w:val="00C655C2"/>
    <w:rsid w:val="00C65EDC"/>
    <w:rsid w:val="00C704C4"/>
    <w:rsid w:val="00C70BC9"/>
    <w:rsid w:val="00C73156"/>
    <w:rsid w:val="00C748C0"/>
    <w:rsid w:val="00C74FF9"/>
    <w:rsid w:val="00C7530B"/>
    <w:rsid w:val="00C75640"/>
    <w:rsid w:val="00C764F0"/>
    <w:rsid w:val="00C76930"/>
    <w:rsid w:val="00C81B05"/>
    <w:rsid w:val="00C81D5A"/>
    <w:rsid w:val="00C8451E"/>
    <w:rsid w:val="00C85A3B"/>
    <w:rsid w:val="00C85AE7"/>
    <w:rsid w:val="00C86049"/>
    <w:rsid w:val="00C86332"/>
    <w:rsid w:val="00C876F3"/>
    <w:rsid w:val="00C90797"/>
    <w:rsid w:val="00C90B98"/>
    <w:rsid w:val="00C92BD7"/>
    <w:rsid w:val="00C92DFA"/>
    <w:rsid w:val="00C93B4C"/>
    <w:rsid w:val="00C93B54"/>
    <w:rsid w:val="00C940FE"/>
    <w:rsid w:val="00C95469"/>
    <w:rsid w:val="00CA07ED"/>
    <w:rsid w:val="00CA10CF"/>
    <w:rsid w:val="00CA1EB4"/>
    <w:rsid w:val="00CA3097"/>
    <w:rsid w:val="00CA3392"/>
    <w:rsid w:val="00CA572A"/>
    <w:rsid w:val="00CA5A67"/>
    <w:rsid w:val="00CA5DA7"/>
    <w:rsid w:val="00CA6769"/>
    <w:rsid w:val="00CB0A0D"/>
    <w:rsid w:val="00CB15F2"/>
    <w:rsid w:val="00CB1FD1"/>
    <w:rsid w:val="00CB2BDA"/>
    <w:rsid w:val="00CB4912"/>
    <w:rsid w:val="00CB4EDE"/>
    <w:rsid w:val="00CC0990"/>
    <w:rsid w:val="00CC1560"/>
    <w:rsid w:val="00CC3F11"/>
    <w:rsid w:val="00CC4236"/>
    <w:rsid w:val="00CC51F0"/>
    <w:rsid w:val="00CC7096"/>
    <w:rsid w:val="00CC7657"/>
    <w:rsid w:val="00CC7D99"/>
    <w:rsid w:val="00CD04B7"/>
    <w:rsid w:val="00CD115F"/>
    <w:rsid w:val="00CD151A"/>
    <w:rsid w:val="00CD3435"/>
    <w:rsid w:val="00CD40C8"/>
    <w:rsid w:val="00CD7001"/>
    <w:rsid w:val="00CE2655"/>
    <w:rsid w:val="00CE2B50"/>
    <w:rsid w:val="00CE332F"/>
    <w:rsid w:val="00CE3633"/>
    <w:rsid w:val="00CE5F74"/>
    <w:rsid w:val="00CE61F2"/>
    <w:rsid w:val="00CF01CD"/>
    <w:rsid w:val="00CF2411"/>
    <w:rsid w:val="00CF28BF"/>
    <w:rsid w:val="00CF3373"/>
    <w:rsid w:val="00CF3959"/>
    <w:rsid w:val="00CF4B11"/>
    <w:rsid w:val="00CF52AF"/>
    <w:rsid w:val="00CF5D17"/>
    <w:rsid w:val="00CF5E82"/>
    <w:rsid w:val="00CF6069"/>
    <w:rsid w:val="00CF6FA9"/>
    <w:rsid w:val="00D0072C"/>
    <w:rsid w:val="00D00A48"/>
    <w:rsid w:val="00D01085"/>
    <w:rsid w:val="00D01942"/>
    <w:rsid w:val="00D03A32"/>
    <w:rsid w:val="00D046C7"/>
    <w:rsid w:val="00D06C7B"/>
    <w:rsid w:val="00D06FDE"/>
    <w:rsid w:val="00D10539"/>
    <w:rsid w:val="00D10A8C"/>
    <w:rsid w:val="00D1106D"/>
    <w:rsid w:val="00D1248E"/>
    <w:rsid w:val="00D12ADB"/>
    <w:rsid w:val="00D14237"/>
    <w:rsid w:val="00D15B8F"/>
    <w:rsid w:val="00D15E3C"/>
    <w:rsid w:val="00D169FD"/>
    <w:rsid w:val="00D16CBF"/>
    <w:rsid w:val="00D20654"/>
    <w:rsid w:val="00D23B79"/>
    <w:rsid w:val="00D24A05"/>
    <w:rsid w:val="00D25740"/>
    <w:rsid w:val="00D25838"/>
    <w:rsid w:val="00D30071"/>
    <w:rsid w:val="00D30174"/>
    <w:rsid w:val="00D303A2"/>
    <w:rsid w:val="00D3058F"/>
    <w:rsid w:val="00D32665"/>
    <w:rsid w:val="00D33259"/>
    <w:rsid w:val="00D33617"/>
    <w:rsid w:val="00D3410D"/>
    <w:rsid w:val="00D34857"/>
    <w:rsid w:val="00D34B25"/>
    <w:rsid w:val="00D35835"/>
    <w:rsid w:val="00D413F3"/>
    <w:rsid w:val="00D41BF9"/>
    <w:rsid w:val="00D41F99"/>
    <w:rsid w:val="00D41FCE"/>
    <w:rsid w:val="00D4218B"/>
    <w:rsid w:val="00D43F36"/>
    <w:rsid w:val="00D4525F"/>
    <w:rsid w:val="00D46691"/>
    <w:rsid w:val="00D4756D"/>
    <w:rsid w:val="00D50C91"/>
    <w:rsid w:val="00D5108B"/>
    <w:rsid w:val="00D51309"/>
    <w:rsid w:val="00D5157A"/>
    <w:rsid w:val="00D53778"/>
    <w:rsid w:val="00D554DF"/>
    <w:rsid w:val="00D5559E"/>
    <w:rsid w:val="00D56218"/>
    <w:rsid w:val="00D563ED"/>
    <w:rsid w:val="00D56DFB"/>
    <w:rsid w:val="00D579DC"/>
    <w:rsid w:val="00D57CF7"/>
    <w:rsid w:val="00D57EDC"/>
    <w:rsid w:val="00D60C8F"/>
    <w:rsid w:val="00D611BA"/>
    <w:rsid w:val="00D626A4"/>
    <w:rsid w:val="00D629AC"/>
    <w:rsid w:val="00D642E9"/>
    <w:rsid w:val="00D6510D"/>
    <w:rsid w:val="00D6538A"/>
    <w:rsid w:val="00D65975"/>
    <w:rsid w:val="00D65EF3"/>
    <w:rsid w:val="00D66904"/>
    <w:rsid w:val="00D66E6D"/>
    <w:rsid w:val="00D676D9"/>
    <w:rsid w:val="00D67BBE"/>
    <w:rsid w:val="00D70702"/>
    <w:rsid w:val="00D7156D"/>
    <w:rsid w:val="00D71FF3"/>
    <w:rsid w:val="00D73360"/>
    <w:rsid w:val="00D743AC"/>
    <w:rsid w:val="00D74B81"/>
    <w:rsid w:val="00D7653E"/>
    <w:rsid w:val="00D774E9"/>
    <w:rsid w:val="00D77758"/>
    <w:rsid w:val="00D80F3E"/>
    <w:rsid w:val="00D811A2"/>
    <w:rsid w:val="00D8140A"/>
    <w:rsid w:val="00D82902"/>
    <w:rsid w:val="00D82923"/>
    <w:rsid w:val="00D82FFB"/>
    <w:rsid w:val="00D847C8"/>
    <w:rsid w:val="00D865EC"/>
    <w:rsid w:val="00D901BC"/>
    <w:rsid w:val="00D924A1"/>
    <w:rsid w:val="00D92D75"/>
    <w:rsid w:val="00D94898"/>
    <w:rsid w:val="00D94BC1"/>
    <w:rsid w:val="00D9503C"/>
    <w:rsid w:val="00D951D8"/>
    <w:rsid w:val="00D96A95"/>
    <w:rsid w:val="00DA017F"/>
    <w:rsid w:val="00DA1DE3"/>
    <w:rsid w:val="00DA53E4"/>
    <w:rsid w:val="00DA5ACD"/>
    <w:rsid w:val="00DA6682"/>
    <w:rsid w:val="00DA74CC"/>
    <w:rsid w:val="00DA7753"/>
    <w:rsid w:val="00DB02E6"/>
    <w:rsid w:val="00DB08D9"/>
    <w:rsid w:val="00DB1BB2"/>
    <w:rsid w:val="00DB4F81"/>
    <w:rsid w:val="00DB61B1"/>
    <w:rsid w:val="00DB7E56"/>
    <w:rsid w:val="00DC0190"/>
    <w:rsid w:val="00DC0F07"/>
    <w:rsid w:val="00DC1DA8"/>
    <w:rsid w:val="00DC5358"/>
    <w:rsid w:val="00DC5461"/>
    <w:rsid w:val="00DC5898"/>
    <w:rsid w:val="00DC6A87"/>
    <w:rsid w:val="00DC6E30"/>
    <w:rsid w:val="00DC74BF"/>
    <w:rsid w:val="00DC750B"/>
    <w:rsid w:val="00DC7C34"/>
    <w:rsid w:val="00DD06C4"/>
    <w:rsid w:val="00DD0BA5"/>
    <w:rsid w:val="00DD1B43"/>
    <w:rsid w:val="00DD21AF"/>
    <w:rsid w:val="00DD254D"/>
    <w:rsid w:val="00DD3A90"/>
    <w:rsid w:val="00DD471A"/>
    <w:rsid w:val="00DD49E3"/>
    <w:rsid w:val="00DD6F62"/>
    <w:rsid w:val="00DD7AF0"/>
    <w:rsid w:val="00DE033D"/>
    <w:rsid w:val="00DE06F7"/>
    <w:rsid w:val="00DE2216"/>
    <w:rsid w:val="00DE3B28"/>
    <w:rsid w:val="00DE5863"/>
    <w:rsid w:val="00DE7334"/>
    <w:rsid w:val="00DF0374"/>
    <w:rsid w:val="00DF084E"/>
    <w:rsid w:val="00DF0DBC"/>
    <w:rsid w:val="00DF23AB"/>
    <w:rsid w:val="00DF4012"/>
    <w:rsid w:val="00DF45CC"/>
    <w:rsid w:val="00DF4CF0"/>
    <w:rsid w:val="00DF4E07"/>
    <w:rsid w:val="00DF4ECD"/>
    <w:rsid w:val="00DF503D"/>
    <w:rsid w:val="00DF5646"/>
    <w:rsid w:val="00DF5D29"/>
    <w:rsid w:val="00DF65E1"/>
    <w:rsid w:val="00DF678C"/>
    <w:rsid w:val="00E01862"/>
    <w:rsid w:val="00E028EA"/>
    <w:rsid w:val="00E04287"/>
    <w:rsid w:val="00E056B0"/>
    <w:rsid w:val="00E058B1"/>
    <w:rsid w:val="00E05DC6"/>
    <w:rsid w:val="00E079E2"/>
    <w:rsid w:val="00E10850"/>
    <w:rsid w:val="00E109E4"/>
    <w:rsid w:val="00E11017"/>
    <w:rsid w:val="00E11F8A"/>
    <w:rsid w:val="00E12B84"/>
    <w:rsid w:val="00E13B7E"/>
    <w:rsid w:val="00E140B0"/>
    <w:rsid w:val="00E149D7"/>
    <w:rsid w:val="00E167BC"/>
    <w:rsid w:val="00E2099A"/>
    <w:rsid w:val="00E23C74"/>
    <w:rsid w:val="00E23E0C"/>
    <w:rsid w:val="00E2507E"/>
    <w:rsid w:val="00E31B00"/>
    <w:rsid w:val="00E32E48"/>
    <w:rsid w:val="00E34E24"/>
    <w:rsid w:val="00E35098"/>
    <w:rsid w:val="00E35211"/>
    <w:rsid w:val="00E35237"/>
    <w:rsid w:val="00E36CAD"/>
    <w:rsid w:val="00E36D61"/>
    <w:rsid w:val="00E42282"/>
    <w:rsid w:val="00E4263A"/>
    <w:rsid w:val="00E42B08"/>
    <w:rsid w:val="00E42E3B"/>
    <w:rsid w:val="00E45B07"/>
    <w:rsid w:val="00E45B5F"/>
    <w:rsid w:val="00E461F8"/>
    <w:rsid w:val="00E46BE7"/>
    <w:rsid w:val="00E46DB2"/>
    <w:rsid w:val="00E501E2"/>
    <w:rsid w:val="00E51830"/>
    <w:rsid w:val="00E51AFF"/>
    <w:rsid w:val="00E5205D"/>
    <w:rsid w:val="00E52599"/>
    <w:rsid w:val="00E525D6"/>
    <w:rsid w:val="00E52712"/>
    <w:rsid w:val="00E52D39"/>
    <w:rsid w:val="00E53767"/>
    <w:rsid w:val="00E53F7C"/>
    <w:rsid w:val="00E53FFD"/>
    <w:rsid w:val="00E55460"/>
    <w:rsid w:val="00E55CF5"/>
    <w:rsid w:val="00E56704"/>
    <w:rsid w:val="00E6009D"/>
    <w:rsid w:val="00E60A61"/>
    <w:rsid w:val="00E61F9C"/>
    <w:rsid w:val="00E62CEA"/>
    <w:rsid w:val="00E6345A"/>
    <w:rsid w:val="00E63C99"/>
    <w:rsid w:val="00E65325"/>
    <w:rsid w:val="00E6774D"/>
    <w:rsid w:val="00E67976"/>
    <w:rsid w:val="00E70E0C"/>
    <w:rsid w:val="00E71CFA"/>
    <w:rsid w:val="00E72D42"/>
    <w:rsid w:val="00E7436A"/>
    <w:rsid w:val="00E75B86"/>
    <w:rsid w:val="00E76A16"/>
    <w:rsid w:val="00E77223"/>
    <w:rsid w:val="00E77D07"/>
    <w:rsid w:val="00E80613"/>
    <w:rsid w:val="00E8228E"/>
    <w:rsid w:val="00E825EF"/>
    <w:rsid w:val="00E85453"/>
    <w:rsid w:val="00E86691"/>
    <w:rsid w:val="00E90516"/>
    <w:rsid w:val="00E909BC"/>
    <w:rsid w:val="00E912AB"/>
    <w:rsid w:val="00E92BB4"/>
    <w:rsid w:val="00E9372E"/>
    <w:rsid w:val="00E93C63"/>
    <w:rsid w:val="00E94994"/>
    <w:rsid w:val="00E95B4B"/>
    <w:rsid w:val="00E96C45"/>
    <w:rsid w:val="00E97EC8"/>
    <w:rsid w:val="00EA1981"/>
    <w:rsid w:val="00EA22CB"/>
    <w:rsid w:val="00EA22D3"/>
    <w:rsid w:val="00EA30EB"/>
    <w:rsid w:val="00EA391B"/>
    <w:rsid w:val="00EA4F20"/>
    <w:rsid w:val="00EA5C6B"/>
    <w:rsid w:val="00EA69B8"/>
    <w:rsid w:val="00EB150E"/>
    <w:rsid w:val="00EB1C1B"/>
    <w:rsid w:val="00EB22E3"/>
    <w:rsid w:val="00EB458A"/>
    <w:rsid w:val="00EB6426"/>
    <w:rsid w:val="00EB6E33"/>
    <w:rsid w:val="00EC15F6"/>
    <w:rsid w:val="00EC3712"/>
    <w:rsid w:val="00EC3DC4"/>
    <w:rsid w:val="00EC4980"/>
    <w:rsid w:val="00EC5540"/>
    <w:rsid w:val="00ED2240"/>
    <w:rsid w:val="00ED2339"/>
    <w:rsid w:val="00ED3923"/>
    <w:rsid w:val="00ED393B"/>
    <w:rsid w:val="00ED5407"/>
    <w:rsid w:val="00ED7BC5"/>
    <w:rsid w:val="00EE25E2"/>
    <w:rsid w:val="00EE30BF"/>
    <w:rsid w:val="00EE3867"/>
    <w:rsid w:val="00EE483A"/>
    <w:rsid w:val="00EF19FC"/>
    <w:rsid w:val="00EF2A5C"/>
    <w:rsid w:val="00EF2B87"/>
    <w:rsid w:val="00EF5F7B"/>
    <w:rsid w:val="00EF7248"/>
    <w:rsid w:val="00EF7754"/>
    <w:rsid w:val="00F0243A"/>
    <w:rsid w:val="00F0562A"/>
    <w:rsid w:val="00F05729"/>
    <w:rsid w:val="00F06269"/>
    <w:rsid w:val="00F07B47"/>
    <w:rsid w:val="00F11EF9"/>
    <w:rsid w:val="00F1285E"/>
    <w:rsid w:val="00F1370C"/>
    <w:rsid w:val="00F14549"/>
    <w:rsid w:val="00F169BE"/>
    <w:rsid w:val="00F178E0"/>
    <w:rsid w:val="00F17E33"/>
    <w:rsid w:val="00F211C4"/>
    <w:rsid w:val="00F22CA0"/>
    <w:rsid w:val="00F23522"/>
    <w:rsid w:val="00F2362D"/>
    <w:rsid w:val="00F236CA"/>
    <w:rsid w:val="00F23A55"/>
    <w:rsid w:val="00F23FC0"/>
    <w:rsid w:val="00F2580F"/>
    <w:rsid w:val="00F25F32"/>
    <w:rsid w:val="00F261A2"/>
    <w:rsid w:val="00F26E2C"/>
    <w:rsid w:val="00F270E0"/>
    <w:rsid w:val="00F30348"/>
    <w:rsid w:val="00F31B52"/>
    <w:rsid w:val="00F32340"/>
    <w:rsid w:val="00F331D7"/>
    <w:rsid w:val="00F3396B"/>
    <w:rsid w:val="00F33C0B"/>
    <w:rsid w:val="00F34F69"/>
    <w:rsid w:val="00F35690"/>
    <w:rsid w:val="00F357B6"/>
    <w:rsid w:val="00F35CDB"/>
    <w:rsid w:val="00F3732D"/>
    <w:rsid w:val="00F403A7"/>
    <w:rsid w:val="00F415FC"/>
    <w:rsid w:val="00F41B42"/>
    <w:rsid w:val="00F421DB"/>
    <w:rsid w:val="00F42260"/>
    <w:rsid w:val="00F42E16"/>
    <w:rsid w:val="00F43018"/>
    <w:rsid w:val="00F43A73"/>
    <w:rsid w:val="00F44DCC"/>
    <w:rsid w:val="00F51421"/>
    <w:rsid w:val="00F52F31"/>
    <w:rsid w:val="00F543A1"/>
    <w:rsid w:val="00F54A7F"/>
    <w:rsid w:val="00F601A7"/>
    <w:rsid w:val="00F60262"/>
    <w:rsid w:val="00F60A7A"/>
    <w:rsid w:val="00F60D13"/>
    <w:rsid w:val="00F6137D"/>
    <w:rsid w:val="00F6201D"/>
    <w:rsid w:val="00F62484"/>
    <w:rsid w:val="00F67BD7"/>
    <w:rsid w:val="00F70F3D"/>
    <w:rsid w:val="00F71361"/>
    <w:rsid w:val="00F718B1"/>
    <w:rsid w:val="00F72F2B"/>
    <w:rsid w:val="00F73D3D"/>
    <w:rsid w:val="00F7535C"/>
    <w:rsid w:val="00F75441"/>
    <w:rsid w:val="00F768BB"/>
    <w:rsid w:val="00F77BBE"/>
    <w:rsid w:val="00F82533"/>
    <w:rsid w:val="00F82DEF"/>
    <w:rsid w:val="00F83D2C"/>
    <w:rsid w:val="00F8501A"/>
    <w:rsid w:val="00F85829"/>
    <w:rsid w:val="00F85DB0"/>
    <w:rsid w:val="00F867C5"/>
    <w:rsid w:val="00F8721C"/>
    <w:rsid w:val="00F916F3"/>
    <w:rsid w:val="00F922EC"/>
    <w:rsid w:val="00F93116"/>
    <w:rsid w:val="00F9391E"/>
    <w:rsid w:val="00F93951"/>
    <w:rsid w:val="00F93BFE"/>
    <w:rsid w:val="00F94450"/>
    <w:rsid w:val="00F96E0B"/>
    <w:rsid w:val="00F970B5"/>
    <w:rsid w:val="00F9740B"/>
    <w:rsid w:val="00FA2822"/>
    <w:rsid w:val="00FA2EF5"/>
    <w:rsid w:val="00FA5C48"/>
    <w:rsid w:val="00FA7D81"/>
    <w:rsid w:val="00FA7E1C"/>
    <w:rsid w:val="00FA7F75"/>
    <w:rsid w:val="00FB1C5B"/>
    <w:rsid w:val="00FB4482"/>
    <w:rsid w:val="00FB465F"/>
    <w:rsid w:val="00FB4765"/>
    <w:rsid w:val="00FB5305"/>
    <w:rsid w:val="00FB7538"/>
    <w:rsid w:val="00FB757D"/>
    <w:rsid w:val="00FC199C"/>
    <w:rsid w:val="00FC23A2"/>
    <w:rsid w:val="00FC2B42"/>
    <w:rsid w:val="00FC33F8"/>
    <w:rsid w:val="00FC5F07"/>
    <w:rsid w:val="00FC5FBA"/>
    <w:rsid w:val="00FC6A48"/>
    <w:rsid w:val="00FC77EB"/>
    <w:rsid w:val="00FD2D00"/>
    <w:rsid w:val="00FD36BD"/>
    <w:rsid w:val="00FD3B4A"/>
    <w:rsid w:val="00FD491E"/>
    <w:rsid w:val="00FD5345"/>
    <w:rsid w:val="00FD7004"/>
    <w:rsid w:val="00FD7405"/>
    <w:rsid w:val="00FE05DD"/>
    <w:rsid w:val="00FE26D5"/>
    <w:rsid w:val="00FE36BD"/>
    <w:rsid w:val="00FE45D0"/>
    <w:rsid w:val="00FE491F"/>
    <w:rsid w:val="00FE6D33"/>
    <w:rsid w:val="00FF1D9B"/>
    <w:rsid w:val="00FF4DF3"/>
    <w:rsid w:val="00FF4F2D"/>
    <w:rsid w:val="00FF53DC"/>
    <w:rsid w:val="00FF68D1"/>
    <w:rsid w:val="00FF6A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4FE1E7C0"/>
  <w15:chartTrackingRefBased/>
  <w15:docId w15:val="{1262E15B-B52A-4C0B-B033-9C9EFB420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lang w:val="en-GB" w:eastAsia="en-GB" w:bidi="ar-SA"/>
      </w:rPr>
    </w:rPrDefault>
    <w:pPrDefault>
      <w:pPr>
        <w:spacing w:line="216" w:lineRule="auto"/>
      </w:pPr>
    </w:pPrDefault>
  </w:docDefaults>
  <w:latentStyles w:defLockedState="1" w:defUIPriority="99" w:defSemiHidden="0" w:defUnhideWhenUsed="0" w:defQFormat="0" w:count="376">
    <w:lsdException w:name="Normal" w:locked="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locked="0"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0" w:unhideWhenUsed="1" w:qFormat="1"/>
    <w:lsdException w:name="Quote" w:semiHidden="1" w:unhideWhenUsed="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uiPriority w:val="99"/>
    <w:qFormat/>
    <w:rsid w:val="00D56218"/>
  </w:style>
  <w:style w:type="paragraph" w:styleId="Heading1">
    <w:name w:val="heading 1"/>
    <w:basedOn w:val="Normal"/>
    <w:next w:val="BodyText"/>
    <w:link w:val="Heading1Char"/>
    <w:qFormat/>
    <w:locked/>
    <w:rsid w:val="00095532"/>
    <w:pPr>
      <w:keepNext/>
      <w:keepLines/>
      <w:pageBreakBefore/>
      <w:numPr>
        <w:numId w:val="21"/>
      </w:numPr>
      <w:spacing w:before="240" w:after="120"/>
      <w:outlineLvl w:val="0"/>
    </w:pPr>
    <w:rPr>
      <w:rFonts w:eastAsiaTheme="majorEastAsia" w:cstheme="majorBidi"/>
      <w:b/>
      <w:color w:val="231EDC" w:themeColor="accent1"/>
      <w:sz w:val="32"/>
      <w:szCs w:val="32"/>
    </w:rPr>
  </w:style>
  <w:style w:type="paragraph" w:styleId="Heading2">
    <w:name w:val="heading 2"/>
    <w:basedOn w:val="Normal"/>
    <w:next w:val="BodyText"/>
    <w:link w:val="Heading2Char"/>
    <w:qFormat/>
    <w:locked/>
    <w:rsid w:val="00095532"/>
    <w:pPr>
      <w:keepNext/>
      <w:keepLines/>
      <w:numPr>
        <w:ilvl w:val="1"/>
        <w:numId w:val="21"/>
      </w:numPr>
      <w:spacing w:before="240" w:after="120"/>
      <w:outlineLvl w:val="1"/>
    </w:pPr>
    <w:rPr>
      <w:rFonts w:eastAsiaTheme="majorEastAsia" w:cstheme="majorBidi"/>
      <w:b/>
      <w:sz w:val="28"/>
      <w:szCs w:val="26"/>
    </w:rPr>
  </w:style>
  <w:style w:type="paragraph" w:styleId="Heading3">
    <w:name w:val="heading 3"/>
    <w:basedOn w:val="Normal"/>
    <w:next w:val="BodyText"/>
    <w:link w:val="Heading3Char"/>
    <w:qFormat/>
    <w:locked/>
    <w:rsid w:val="00095532"/>
    <w:pPr>
      <w:keepNext/>
      <w:keepLines/>
      <w:numPr>
        <w:ilvl w:val="2"/>
        <w:numId w:val="21"/>
      </w:numPr>
      <w:spacing w:before="240" w:after="120"/>
      <w:outlineLvl w:val="2"/>
    </w:pPr>
    <w:rPr>
      <w:rFonts w:eastAsiaTheme="majorEastAsia" w:cstheme="majorBidi"/>
      <w:b/>
      <w:sz w:val="26"/>
      <w:szCs w:val="24"/>
    </w:rPr>
  </w:style>
  <w:style w:type="paragraph" w:styleId="Heading4">
    <w:name w:val="heading 4"/>
    <w:basedOn w:val="Normal"/>
    <w:next w:val="BodyText"/>
    <w:link w:val="Heading4Char"/>
    <w:qFormat/>
    <w:locked/>
    <w:rsid w:val="00095532"/>
    <w:pPr>
      <w:keepNext/>
      <w:keepLines/>
      <w:numPr>
        <w:ilvl w:val="3"/>
        <w:numId w:val="21"/>
      </w:numPr>
      <w:spacing w:before="240" w:after="120"/>
      <w:outlineLvl w:val="3"/>
    </w:pPr>
    <w:rPr>
      <w:rFonts w:eastAsiaTheme="majorEastAsia" w:cstheme="majorBidi"/>
      <w:b/>
      <w:iCs/>
      <w:sz w:val="24"/>
    </w:rPr>
  </w:style>
  <w:style w:type="paragraph" w:styleId="Heading5">
    <w:name w:val="heading 5"/>
    <w:basedOn w:val="Normal"/>
    <w:next w:val="BodyText"/>
    <w:link w:val="Heading5Char"/>
    <w:qFormat/>
    <w:locked/>
    <w:rsid w:val="00095532"/>
    <w:pPr>
      <w:keepNext/>
      <w:keepLines/>
      <w:numPr>
        <w:ilvl w:val="4"/>
        <w:numId w:val="21"/>
      </w:numPr>
      <w:spacing w:before="240" w:after="120"/>
      <w:outlineLvl w:val="4"/>
    </w:pPr>
    <w:rPr>
      <w:rFonts w:eastAsiaTheme="majorEastAsia" w:cstheme="majorBidi"/>
      <w:b/>
      <w:sz w:val="22"/>
    </w:rPr>
  </w:style>
  <w:style w:type="paragraph" w:styleId="Heading6">
    <w:name w:val="heading 6"/>
    <w:basedOn w:val="Normal"/>
    <w:next w:val="BodyText"/>
    <w:link w:val="Heading6Char"/>
    <w:qFormat/>
    <w:rsid w:val="00095532"/>
    <w:pPr>
      <w:keepNext/>
      <w:keepLines/>
      <w:numPr>
        <w:ilvl w:val="5"/>
        <w:numId w:val="21"/>
      </w:numPr>
      <w:spacing w:before="240" w:after="120"/>
      <w:outlineLvl w:val="5"/>
    </w:pPr>
    <w:rPr>
      <w:rFonts w:eastAsiaTheme="majorEastAsia" w:cstheme="majorBidi"/>
      <w:b/>
    </w:rPr>
  </w:style>
  <w:style w:type="paragraph" w:styleId="Heading7">
    <w:name w:val="heading 7"/>
    <w:basedOn w:val="Normal"/>
    <w:next w:val="Normal"/>
    <w:link w:val="Heading7Char"/>
    <w:uiPriority w:val="99"/>
    <w:semiHidden/>
    <w:qFormat/>
    <w:locked/>
    <w:rsid w:val="00095532"/>
    <w:pPr>
      <w:keepNext/>
      <w:keepLines/>
      <w:spacing w:before="40"/>
      <w:outlineLvl w:val="6"/>
    </w:pPr>
    <w:rPr>
      <w:rFonts w:eastAsiaTheme="majorEastAsia" w:cstheme="majorBidi"/>
      <w:i/>
      <w:iCs/>
      <w:color w:val="110F6D" w:themeColor="accent1" w:themeShade="7F"/>
    </w:rPr>
  </w:style>
  <w:style w:type="paragraph" w:styleId="Heading8">
    <w:name w:val="heading 8"/>
    <w:basedOn w:val="Normal"/>
    <w:next w:val="Normal"/>
    <w:link w:val="Heading8Char"/>
    <w:uiPriority w:val="99"/>
    <w:semiHidden/>
    <w:qFormat/>
    <w:locked/>
    <w:rsid w:val="00095532"/>
    <w:pPr>
      <w:keepNext/>
      <w:keepLines/>
      <w:spacing w:before="40"/>
      <w:outlineLvl w:val="7"/>
    </w:pPr>
    <w:rPr>
      <w:rFonts w:eastAsiaTheme="majorEastAsia" w:cstheme="majorBidi"/>
      <w:color w:val="272727" w:themeColor="text1" w:themeTint="D8"/>
      <w:sz w:val="21"/>
      <w:szCs w:val="21"/>
    </w:rPr>
  </w:style>
  <w:style w:type="paragraph" w:styleId="Heading9">
    <w:name w:val="heading 9"/>
    <w:aliases w:val="Appendix"/>
    <w:basedOn w:val="Normal"/>
    <w:next w:val="BodyText"/>
    <w:link w:val="Heading9Char"/>
    <w:uiPriority w:val="99"/>
    <w:semiHidden/>
    <w:locked/>
    <w:rsid w:val="00095532"/>
    <w:pPr>
      <w:keepNext/>
      <w:keepLines/>
      <w:pageBreakBefore/>
      <w:spacing w:before="40"/>
      <w:outlineLvl w:val="8"/>
    </w:pPr>
    <w:rPr>
      <w:rFonts w:eastAsiaTheme="majorEastAsia" w:cstheme="majorBidi"/>
      <w:b/>
      <w:iCs/>
      <w:color w:val="231EDC" w:themeColor="accent1"/>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95532"/>
    <w:rPr>
      <w:rFonts w:asciiTheme="minorHAnsi" w:hAnsiTheme="minorHAnsi"/>
      <w:color w:val="333333" w:themeColor="text2"/>
      <w:sz w:val="24"/>
    </w:rPr>
  </w:style>
  <w:style w:type="character" w:customStyle="1" w:styleId="HeaderChar">
    <w:name w:val="Header Char"/>
    <w:basedOn w:val="DefaultParagraphFont"/>
    <w:link w:val="Header"/>
    <w:uiPriority w:val="99"/>
    <w:semiHidden/>
    <w:rsid w:val="00095532"/>
    <w:rPr>
      <w:rFonts w:asciiTheme="minorHAnsi" w:hAnsiTheme="minorHAnsi"/>
      <w:color w:val="333333" w:themeColor="text2"/>
      <w:sz w:val="24"/>
    </w:rPr>
  </w:style>
  <w:style w:type="paragraph" w:styleId="Footer">
    <w:name w:val="footer"/>
    <w:basedOn w:val="Normal"/>
    <w:link w:val="FooterChar"/>
    <w:uiPriority w:val="99"/>
    <w:semiHidden/>
    <w:locked/>
    <w:rsid w:val="00095532"/>
    <w:rPr>
      <w:rFonts w:asciiTheme="minorHAnsi" w:hAnsiTheme="minorHAnsi"/>
      <w:color w:val="333333" w:themeColor="text2"/>
      <w:sz w:val="16"/>
    </w:rPr>
  </w:style>
  <w:style w:type="character" w:customStyle="1" w:styleId="FooterChar">
    <w:name w:val="Footer Char"/>
    <w:basedOn w:val="DefaultParagraphFont"/>
    <w:link w:val="Footer"/>
    <w:uiPriority w:val="99"/>
    <w:semiHidden/>
    <w:rsid w:val="00095532"/>
    <w:rPr>
      <w:rFonts w:asciiTheme="minorHAnsi" w:hAnsiTheme="minorHAnsi"/>
      <w:color w:val="333333" w:themeColor="text2"/>
      <w:sz w:val="16"/>
    </w:rPr>
  </w:style>
  <w:style w:type="table" w:styleId="TableGrid">
    <w:name w:val="Table Grid"/>
    <w:basedOn w:val="TableNormal"/>
    <w:uiPriority w:val="39"/>
    <w:locked/>
    <w:rsid w:val="0009553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Number">
    <w:name w:val="Body Text 1 Number"/>
    <w:basedOn w:val="Normal"/>
    <w:uiPriority w:val="2"/>
    <w:rsid w:val="00095532"/>
    <w:pPr>
      <w:numPr>
        <w:numId w:val="22"/>
      </w:numPr>
      <w:spacing w:before="180" w:after="120"/>
      <w:ind w:left="357" w:hanging="357"/>
      <w:contextualSpacing/>
    </w:pPr>
  </w:style>
  <w:style w:type="paragraph" w:customStyle="1" w:styleId="BodyText2Letter">
    <w:name w:val="Body Text 2 Letter"/>
    <w:basedOn w:val="Normal"/>
    <w:uiPriority w:val="2"/>
    <w:rsid w:val="00095532"/>
    <w:pPr>
      <w:numPr>
        <w:ilvl w:val="1"/>
        <w:numId w:val="22"/>
      </w:numPr>
      <w:spacing w:after="120"/>
      <w:ind w:left="714" w:hanging="357"/>
      <w:contextualSpacing/>
    </w:pPr>
  </w:style>
  <w:style w:type="paragraph" w:customStyle="1" w:styleId="BodyText3Roman">
    <w:name w:val="Body Text 3 Roman"/>
    <w:basedOn w:val="Normal"/>
    <w:uiPriority w:val="2"/>
    <w:rsid w:val="00095532"/>
    <w:pPr>
      <w:numPr>
        <w:ilvl w:val="2"/>
        <w:numId w:val="22"/>
      </w:numPr>
      <w:spacing w:after="120"/>
      <w:ind w:left="1071" w:hanging="357"/>
      <w:contextualSpacing/>
    </w:pPr>
  </w:style>
  <w:style w:type="paragraph" w:customStyle="1" w:styleId="TableText">
    <w:name w:val="Table Text"/>
    <w:basedOn w:val="BodyText"/>
    <w:uiPriority w:val="4"/>
    <w:rsid w:val="00890CF7"/>
    <w:pPr>
      <w:spacing w:before="40" w:after="40"/>
    </w:pPr>
  </w:style>
  <w:style w:type="character" w:customStyle="1" w:styleId="Heading1Char">
    <w:name w:val="Heading 1 Char"/>
    <w:basedOn w:val="DefaultParagraphFont"/>
    <w:link w:val="Heading1"/>
    <w:rsid w:val="00095532"/>
    <w:rPr>
      <w:rFonts w:eastAsiaTheme="majorEastAsia" w:cstheme="majorBidi"/>
      <w:b/>
      <w:color w:val="231EDC" w:themeColor="accent1"/>
      <w:sz w:val="32"/>
      <w:szCs w:val="32"/>
    </w:rPr>
  </w:style>
  <w:style w:type="paragraph" w:customStyle="1" w:styleId="BulletLevel1">
    <w:name w:val="Bullet Level 1"/>
    <w:basedOn w:val="Normal"/>
    <w:uiPriority w:val="2"/>
    <w:rsid w:val="00095532"/>
    <w:pPr>
      <w:numPr>
        <w:numId w:val="31"/>
      </w:numPr>
      <w:spacing w:before="120" w:after="60"/>
      <w:ind w:left="357" w:hanging="357"/>
      <w:contextualSpacing/>
    </w:pPr>
  </w:style>
  <w:style w:type="paragraph" w:customStyle="1" w:styleId="TableHeading">
    <w:name w:val="Table Heading"/>
    <w:basedOn w:val="Normal"/>
    <w:uiPriority w:val="3"/>
    <w:rsid w:val="00095532"/>
    <w:pPr>
      <w:keepNext/>
      <w:spacing w:before="60" w:after="60"/>
    </w:pPr>
    <w:rPr>
      <w:rFonts w:asciiTheme="minorHAnsi" w:hAnsiTheme="minorHAnsi"/>
      <w:b/>
      <w:sz w:val="22"/>
    </w:rPr>
  </w:style>
  <w:style w:type="paragraph" w:customStyle="1" w:styleId="BulletLevel2">
    <w:name w:val="Bullet Level 2"/>
    <w:basedOn w:val="Normal"/>
    <w:uiPriority w:val="2"/>
    <w:rsid w:val="00095532"/>
    <w:pPr>
      <w:numPr>
        <w:ilvl w:val="1"/>
        <w:numId w:val="31"/>
      </w:numPr>
      <w:spacing w:before="120" w:after="60"/>
      <w:ind w:left="714" w:hanging="357"/>
      <w:contextualSpacing/>
    </w:pPr>
  </w:style>
  <w:style w:type="paragraph" w:customStyle="1" w:styleId="BulletLevel3">
    <w:name w:val="Bullet Level 3"/>
    <w:basedOn w:val="Normal"/>
    <w:uiPriority w:val="2"/>
    <w:rsid w:val="00707F7C"/>
    <w:pPr>
      <w:numPr>
        <w:ilvl w:val="2"/>
        <w:numId w:val="31"/>
      </w:numPr>
      <w:spacing w:before="240" w:after="300" w:line="240" w:lineRule="auto"/>
      <w:ind w:left="284"/>
      <w:contextualSpacing/>
    </w:pPr>
  </w:style>
  <w:style w:type="character" w:customStyle="1" w:styleId="Heading3Char">
    <w:name w:val="Heading 3 Char"/>
    <w:basedOn w:val="DefaultParagraphFont"/>
    <w:link w:val="Heading3"/>
    <w:rsid w:val="00095532"/>
    <w:rPr>
      <w:rFonts w:eastAsiaTheme="majorEastAsia" w:cstheme="majorBidi"/>
      <w:b/>
      <w:sz w:val="26"/>
      <w:szCs w:val="24"/>
    </w:rPr>
  </w:style>
  <w:style w:type="paragraph" w:customStyle="1" w:styleId="AppendixHeading2">
    <w:name w:val="Appendix Heading 2"/>
    <w:basedOn w:val="Normal"/>
    <w:next w:val="BodyText"/>
    <w:uiPriority w:val="20"/>
    <w:rsid w:val="00095532"/>
    <w:pPr>
      <w:keepNext/>
      <w:numPr>
        <w:ilvl w:val="1"/>
        <w:numId w:val="18"/>
      </w:numPr>
      <w:spacing w:before="240" w:after="120"/>
      <w:outlineLvl w:val="1"/>
    </w:pPr>
    <w:rPr>
      <w:b/>
      <w:sz w:val="28"/>
    </w:rPr>
  </w:style>
  <w:style w:type="paragraph" w:customStyle="1" w:styleId="AppendixHeading3">
    <w:name w:val="Appendix Heading 3"/>
    <w:basedOn w:val="Normal"/>
    <w:next w:val="BodyText"/>
    <w:uiPriority w:val="20"/>
    <w:rsid w:val="00095532"/>
    <w:pPr>
      <w:keepNext/>
      <w:numPr>
        <w:ilvl w:val="2"/>
        <w:numId w:val="18"/>
      </w:numPr>
      <w:spacing w:before="240" w:after="120"/>
      <w:outlineLvl w:val="2"/>
    </w:pPr>
    <w:rPr>
      <w:b/>
      <w:sz w:val="24"/>
    </w:rPr>
  </w:style>
  <w:style w:type="paragraph" w:customStyle="1" w:styleId="AppendixHeading4">
    <w:name w:val="Appendix Heading 4"/>
    <w:basedOn w:val="Normal"/>
    <w:next w:val="BodyText"/>
    <w:uiPriority w:val="20"/>
    <w:rsid w:val="00095532"/>
    <w:pPr>
      <w:keepNext/>
      <w:numPr>
        <w:ilvl w:val="3"/>
        <w:numId w:val="18"/>
      </w:numPr>
      <w:spacing w:before="240" w:after="120"/>
      <w:outlineLvl w:val="3"/>
    </w:pPr>
    <w:rPr>
      <w:b/>
      <w:sz w:val="22"/>
    </w:rPr>
  </w:style>
  <w:style w:type="paragraph" w:customStyle="1" w:styleId="TableBullet">
    <w:name w:val="Table Bullet"/>
    <w:basedOn w:val="Normal"/>
    <w:uiPriority w:val="6"/>
    <w:rsid w:val="000B7D73"/>
    <w:pPr>
      <w:spacing w:before="40" w:after="40"/>
      <w:ind w:left="360" w:hanging="360"/>
    </w:pPr>
    <w:rPr>
      <w:rFonts w:ascii="Jacobs Chronos" w:hAnsi="Jacobs Chronos"/>
      <w:sz w:val="18"/>
    </w:rPr>
  </w:style>
  <w:style w:type="paragraph" w:customStyle="1" w:styleId="FigureNumberandTitle">
    <w:name w:val="Figure Number and Title"/>
    <w:next w:val="FigureCaption"/>
    <w:uiPriority w:val="99"/>
    <w:semiHidden/>
    <w:rsid w:val="00552B1D"/>
    <w:pPr>
      <w:spacing w:before="120" w:after="40"/>
      <w:ind w:left="907" w:hanging="907"/>
    </w:pPr>
    <w:rPr>
      <w:b/>
    </w:rPr>
  </w:style>
  <w:style w:type="paragraph" w:customStyle="1" w:styleId="Sourcecitation">
    <w:name w:val="Source/citation"/>
    <w:next w:val="BodyText"/>
    <w:uiPriority w:val="99"/>
    <w:semiHidden/>
    <w:rsid w:val="004B2105"/>
    <w:pPr>
      <w:spacing w:before="40" w:after="40"/>
    </w:pPr>
    <w:rPr>
      <w:i/>
      <w:sz w:val="18"/>
    </w:rPr>
  </w:style>
  <w:style w:type="paragraph" w:customStyle="1" w:styleId="CoverHeading">
    <w:name w:val="Cover Heading"/>
    <w:basedOn w:val="Normal"/>
    <w:uiPriority w:val="99"/>
    <w:semiHidden/>
    <w:rsid w:val="00095532"/>
    <w:pPr>
      <w:spacing w:before="240" w:after="1200"/>
    </w:pPr>
    <w:rPr>
      <w:b/>
      <w:color w:val="231EDC" w:themeColor="accent1"/>
      <w:sz w:val="52"/>
    </w:rPr>
  </w:style>
  <w:style w:type="paragraph" w:customStyle="1" w:styleId="CoverInformationBold">
    <w:name w:val="Cover Information Bold"/>
    <w:basedOn w:val="CoverInformation"/>
    <w:uiPriority w:val="99"/>
    <w:semiHidden/>
    <w:rsid w:val="00392D1A"/>
    <w:pPr>
      <w:spacing w:after="0"/>
    </w:pPr>
    <w:rPr>
      <w:b/>
      <w:bCs/>
    </w:rPr>
  </w:style>
  <w:style w:type="paragraph" w:customStyle="1" w:styleId="CoverInformation">
    <w:name w:val="Cover Information"/>
    <w:basedOn w:val="Normal"/>
    <w:uiPriority w:val="99"/>
    <w:semiHidden/>
    <w:rsid w:val="00095532"/>
    <w:pPr>
      <w:spacing w:after="480"/>
      <w:contextualSpacing/>
    </w:pPr>
    <w:rPr>
      <w:rFonts w:asciiTheme="minorHAnsi" w:hAnsiTheme="minorHAnsi"/>
      <w:sz w:val="28"/>
    </w:rPr>
  </w:style>
  <w:style w:type="paragraph" w:customStyle="1" w:styleId="TableText1Number">
    <w:name w:val="Table Text 1 Number"/>
    <w:basedOn w:val="TableText"/>
    <w:uiPriority w:val="99"/>
    <w:semiHidden/>
    <w:rsid w:val="008E484D"/>
    <w:pPr>
      <w:numPr>
        <w:numId w:val="14"/>
      </w:numPr>
    </w:pPr>
  </w:style>
  <w:style w:type="paragraph" w:customStyle="1" w:styleId="Disclaimer">
    <w:name w:val="Disclaimer"/>
    <w:basedOn w:val="Normal"/>
    <w:uiPriority w:val="99"/>
    <w:semiHidden/>
    <w:rsid w:val="00095532"/>
    <w:pPr>
      <w:spacing w:before="180"/>
    </w:pPr>
    <w:rPr>
      <w:rFonts w:asciiTheme="minorHAnsi" w:hAnsiTheme="minorHAnsi"/>
      <w:sz w:val="16"/>
    </w:rPr>
  </w:style>
  <w:style w:type="character" w:customStyle="1" w:styleId="Heading2Char">
    <w:name w:val="Heading 2 Char"/>
    <w:basedOn w:val="DefaultParagraphFont"/>
    <w:link w:val="Heading2"/>
    <w:rsid w:val="00095532"/>
    <w:rPr>
      <w:rFonts w:eastAsiaTheme="majorEastAsia" w:cstheme="majorBidi"/>
      <w:b/>
      <w:sz w:val="28"/>
      <w:szCs w:val="26"/>
    </w:rPr>
  </w:style>
  <w:style w:type="paragraph" w:customStyle="1" w:styleId="Divider">
    <w:name w:val="Divider"/>
    <w:uiPriority w:val="99"/>
    <w:semiHidden/>
    <w:rsid w:val="00E13B7E"/>
    <w:pPr>
      <w:spacing w:before="4000" w:after="7000"/>
    </w:pPr>
    <w:rPr>
      <w:rFonts w:eastAsiaTheme="majorEastAsia" w:cs="Jacobs Chronos Light"/>
      <w:b/>
      <w:color w:val="231EDC" w:themeColor="accent1"/>
      <w:sz w:val="52"/>
      <w:szCs w:val="56"/>
    </w:rPr>
  </w:style>
  <w:style w:type="paragraph" w:customStyle="1" w:styleId="Headingunnumbered1">
    <w:name w:val="Heading (unnumbered) 1"/>
    <w:basedOn w:val="Normal"/>
    <w:next w:val="BodyText"/>
    <w:uiPriority w:val="1"/>
    <w:rsid w:val="00095532"/>
    <w:pPr>
      <w:keepNext/>
      <w:spacing w:before="240" w:after="120"/>
      <w:outlineLvl w:val="0"/>
    </w:pPr>
    <w:rPr>
      <w:b/>
      <w:color w:val="231EDC" w:themeColor="accent1"/>
      <w:sz w:val="32"/>
    </w:rPr>
  </w:style>
  <w:style w:type="paragraph" w:customStyle="1" w:styleId="Headingunnumbered2">
    <w:name w:val="Heading (unnumbered) 2"/>
    <w:basedOn w:val="Normal"/>
    <w:next w:val="BodyText"/>
    <w:uiPriority w:val="1"/>
    <w:rsid w:val="00095532"/>
    <w:pPr>
      <w:keepNext/>
      <w:spacing w:before="240" w:after="120"/>
      <w:outlineLvl w:val="1"/>
    </w:pPr>
    <w:rPr>
      <w:b/>
      <w:sz w:val="28"/>
    </w:rPr>
  </w:style>
  <w:style w:type="paragraph" w:customStyle="1" w:styleId="Headingunnumbered3">
    <w:name w:val="Heading (unnumbered) 3"/>
    <w:basedOn w:val="Normal"/>
    <w:next w:val="BodyText"/>
    <w:uiPriority w:val="1"/>
    <w:rsid w:val="00095532"/>
    <w:pPr>
      <w:keepNext/>
      <w:spacing w:before="240" w:after="120"/>
      <w:outlineLvl w:val="2"/>
    </w:pPr>
    <w:rPr>
      <w:b/>
      <w:sz w:val="24"/>
    </w:rPr>
  </w:style>
  <w:style w:type="paragraph" w:customStyle="1" w:styleId="TableText2Letter">
    <w:name w:val="Table Text 2 Letter"/>
    <w:basedOn w:val="TableText1Number"/>
    <w:uiPriority w:val="99"/>
    <w:semiHidden/>
    <w:rsid w:val="00025ACF"/>
    <w:pPr>
      <w:numPr>
        <w:ilvl w:val="1"/>
      </w:numPr>
    </w:pPr>
  </w:style>
  <w:style w:type="paragraph" w:styleId="BalloonText">
    <w:name w:val="Balloon Text"/>
    <w:basedOn w:val="Normal"/>
    <w:link w:val="BalloonTextChar"/>
    <w:uiPriority w:val="99"/>
    <w:semiHidden/>
    <w:unhideWhenUsed/>
    <w:locked/>
    <w:rsid w:val="000955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532"/>
    <w:rPr>
      <w:rFonts w:ascii="Segoe UI" w:hAnsi="Segoe UI" w:cs="Segoe UI"/>
      <w:sz w:val="18"/>
      <w:szCs w:val="18"/>
    </w:rPr>
  </w:style>
  <w:style w:type="paragraph" w:customStyle="1" w:styleId="SingleSequential">
    <w:name w:val="Single Sequential"/>
    <w:basedOn w:val="Normal"/>
    <w:uiPriority w:val="2"/>
    <w:qFormat/>
    <w:rsid w:val="00095532"/>
    <w:pPr>
      <w:numPr>
        <w:numId w:val="29"/>
      </w:numPr>
      <w:spacing w:before="180" w:after="60"/>
    </w:pPr>
    <w:rPr>
      <w:rFonts w:asciiTheme="minorHAnsi" w:hAnsiTheme="minorHAnsi"/>
    </w:rPr>
  </w:style>
  <w:style w:type="numbering" w:customStyle="1" w:styleId="JacobsSingleSequentialList">
    <w:name w:val="Jacobs Single Sequential List"/>
    <w:uiPriority w:val="99"/>
    <w:semiHidden/>
    <w:rsid w:val="00B46D23"/>
    <w:pPr>
      <w:numPr>
        <w:numId w:val="1"/>
      </w:numPr>
    </w:pPr>
  </w:style>
  <w:style w:type="numbering" w:customStyle="1" w:styleId="JacobsParagraphLevels">
    <w:name w:val="Jacobs Paragraph Levels"/>
    <w:uiPriority w:val="99"/>
    <w:semiHidden/>
    <w:rsid w:val="00382C71"/>
    <w:pPr>
      <w:numPr>
        <w:numId w:val="2"/>
      </w:numPr>
    </w:pPr>
  </w:style>
  <w:style w:type="character" w:styleId="CommentReference">
    <w:name w:val="annotation reference"/>
    <w:basedOn w:val="DefaultParagraphFont"/>
    <w:uiPriority w:val="99"/>
    <w:semiHidden/>
    <w:unhideWhenUsed/>
    <w:locked/>
    <w:rsid w:val="00095532"/>
    <w:rPr>
      <w:sz w:val="16"/>
      <w:szCs w:val="16"/>
    </w:rPr>
  </w:style>
  <w:style w:type="paragraph" w:styleId="CommentText">
    <w:name w:val="annotation text"/>
    <w:basedOn w:val="Normal"/>
    <w:link w:val="CommentTextChar"/>
    <w:uiPriority w:val="99"/>
    <w:semiHidden/>
    <w:unhideWhenUsed/>
    <w:locked/>
    <w:rsid w:val="00095532"/>
  </w:style>
  <w:style w:type="character" w:customStyle="1" w:styleId="CommentTextChar">
    <w:name w:val="Comment Text Char"/>
    <w:basedOn w:val="DefaultParagraphFont"/>
    <w:link w:val="CommentText"/>
    <w:uiPriority w:val="99"/>
    <w:semiHidden/>
    <w:rsid w:val="00095532"/>
  </w:style>
  <w:style w:type="paragraph" w:styleId="CommentSubject">
    <w:name w:val="annotation subject"/>
    <w:basedOn w:val="CommentText"/>
    <w:next w:val="CommentText"/>
    <w:link w:val="CommentSubjectChar"/>
    <w:uiPriority w:val="99"/>
    <w:semiHidden/>
    <w:unhideWhenUsed/>
    <w:locked/>
    <w:rsid w:val="00095532"/>
    <w:rPr>
      <w:b/>
      <w:bCs/>
    </w:rPr>
  </w:style>
  <w:style w:type="character" w:customStyle="1" w:styleId="CommentSubjectChar">
    <w:name w:val="Comment Subject Char"/>
    <w:basedOn w:val="CommentTextChar"/>
    <w:link w:val="CommentSubject"/>
    <w:uiPriority w:val="99"/>
    <w:semiHidden/>
    <w:rsid w:val="00095532"/>
    <w:rPr>
      <w:b/>
      <w:bCs/>
    </w:rPr>
  </w:style>
  <w:style w:type="table" w:styleId="PlainTable1">
    <w:name w:val="Plain Table 1"/>
    <w:basedOn w:val="TableNormal"/>
    <w:uiPriority w:val="41"/>
    <w:locked/>
    <w:rsid w:val="0009553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095532"/>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
    <w:name w:val="Style1"/>
    <w:basedOn w:val="TableNormal"/>
    <w:uiPriority w:val="99"/>
    <w:semiHidden/>
    <w:rsid w:val="00FB4765"/>
    <w:pPr>
      <w:spacing w:line="240" w:lineRule="auto"/>
    </w:pPr>
    <w:tblPr/>
  </w:style>
  <w:style w:type="table" w:customStyle="1" w:styleId="Style2">
    <w:name w:val="Style2"/>
    <w:basedOn w:val="TableNormal"/>
    <w:uiPriority w:val="99"/>
    <w:semiHidden/>
    <w:rsid w:val="00FB4765"/>
    <w:pPr>
      <w:spacing w:line="240" w:lineRule="auto"/>
    </w:pPr>
    <w:tblPr/>
  </w:style>
  <w:style w:type="table" w:styleId="GridTable4-Accent6">
    <w:name w:val="Grid Table 4 Accent 6"/>
    <w:basedOn w:val="TableNormal"/>
    <w:uiPriority w:val="49"/>
    <w:locked/>
    <w:rsid w:val="00095532"/>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paragraph" w:customStyle="1" w:styleId="TableText3Roman">
    <w:name w:val="Table Text 3 Roman"/>
    <w:basedOn w:val="TableText"/>
    <w:uiPriority w:val="99"/>
    <w:semiHidden/>
    <w:rsid w:val="008E484D"/>
    <w:pPr>
      <w:numPr>
        <w:ilvl w:val="2"/>
        <w:numId w:val="14"/>
      </w:numPr>
    </w:pPr>
  </w:style>
  <w:style w:type="paragraph" w:customStyle="1" w:styleId="BodyTextBold">
    <w:name w:val="Body Text Bold"/>
    <w:basedOn w:val="BodyText"/>
    <w:next w:val="BodyText"/>
    <w:uiPriority w:val="99"/>
    <w:semiHidden/>
    <w:rsid w:val="00DF23AB"/>
    <w:rPr>
      <w:b/>
    </w:rPr>
  </w:style>
  <w:style w:type="paragraph" w:customStyle="1" w:styleId="TableTextBold">
    <w:name w:val="Table Text Bold"/>
    <w:basedOn w:val="TableText"/>
    <w:next w:val="TableText"/>
    <w:uiPriority w:val="99"/>
    <w:semiHidden/>
    <w:rsid w:val="00767E98"/>
    <w:rPr>
      <w:b/>
    </w:rPr>
  </w:style>
  <w:style w:type="paragraph" w:customStyle="1" w:styleId="TableHeading2">
    <w:name w:val="Table Heading 2"/>
    <w:basedOn w:val="Normal"/>
    <w:uiPriority w:val="4"/>
    <w:qFormat/>
    <w:rsid w:val="00095532"/>
    <w:pPr>
      <w:spacing w:before="60" w:after="60"/>
    </w:pPr>
    <w:rPr>
      <w:b/>
    </w:rPr>
  </w:style>
  <w:style w:type="character" w:styleId="Hyperlink">
    <w:name w:val="Hyperlink"/>
    <w:basedOn w:val="DefaultParagraphFont"/>
    <w:uiPriority w:val="99"/>
    <w:unhideWhenUsed/>
    <w:locked/>
    <w:rsid w:val="00095532"/>
    <w:rPr>
      <w:color w:val="231EDC" w:themeColor="hyperlink"/>
      <w:u w:val="single"/>
    </w:rPr>
  </w:style>
  <w:style w:type="paragraph" w:customStyle="1" w:styleId="DocumentSubject">
    <w:name w:val="Document Subject"/>
    <w:basedOn w:val="Normal"/>
    <w:uiPriority w:val="99"/>
    <w:semiHidden/>
    <w:rsid w:val="00095532"/>
    <w:pPr>
      <w:spacing w:before="360" w:after="240"/>
    </w:pPr>
    <w:rPr>
      <w:rFonts w:asciiTheme="minorHAnsi" w:hAnsiTheme="minorHAnsi"/>
      <w:b/>
      <w:color w:val="231EDC" w:themeColor="accent1"/>
      <w:sz w:val="24"/>
    </w:rPr>
  </w:style>
  <w:style w:type="character" w:customStyle="1" w:styleId="Heading4Char">
    <w:name w:val="Heading 4 Char"/>
    <w:basedOn w:val="DefaultParagraphFont"/>
    <w:link w:val="Heading4"/>
    <w:rsid w:val="00095532"/>
    <w:rPr>
      <w:rFonts w:eastAsiaTheme="majorEastAsia" w:cstheme="majorBidi"/>
      <w:b/>
      <w:iCs/>
      <w:sz w:val="24"/>
    </w:rPr>
  </w:style>
  <w:style w:type="character" w:customStyle="1" w:styleId="Heading5Char">
    <w:name w:val="Heading 5 Char"/>
    <w:basedOn w:val="DefaultParagraphFont"/>
    <w:link w:val="Heading5"/>
    <w:rsid w:val="00095532"/>
    <w:rPr>
      <w:rFonts w:eastAsiaTheme="majorEastAsia" w:cstheme="majorBidi"/>
      <w:b/>
      <w:sz w:val="22"/>
    </w:rPr>
  </w:style>
  <w:style w:type="character" w:customStyle="1" w:styleId="Heading6Char">
    <w:name w:val="Heading 6 Char"/>
    <w:basedOn w:val="DefaultParagraphFont"/>
    <w:link w:val="Heading6"/>
    <w:rsid w:val="00095532"/>
    <w:rPr>
      <w:rFonts w:eastAsiaTheme="majorEastAsia" w:cstheme="majorBidi"/>
      <w:b/>
    </w:rPr>
  </w:style>
  <w:style w:type="character" w:customStyle="1" w:styleId="Heading7Char">
    <w:name w:val="Heading 7 Char"/>
    <w:basedOn w:val="DefaultParagraphFont"/>
    <w:link w:val="Heading7"/>
    <w:uiPriority w:val="9"/>
    <w:semiHidden/>
    <w:rsid w:val="00095532"/>
    <w:rPr>
      <w:rFonts w:eastAsiaTheme="majorEastAsia" w:cstheme="majorBidi"/>
      <w:i/>
      <w:iCs/>
      <w:color w:val="110F6D" w:themeColor="accent1" w:themeShade="7F"/>
    </w:rPr>
  </w:style>
  <w:style w:type="character" w:customStyle="1" w:styleId="Heading8Char">
    <w:name w:val="Heading 8 Char"/>
    <w:basedOn w:val="DefaultParagraphFont"/>
    <w:link w:val="Heading8"/>
    <w:uiPriority w:val="9"/>
    <w:semiHidden/>
    <w:rsid w:val="00095532"/>
    <w:rPr>
      <w:rFonts w:eastAsiaTheme="majorEastAsia" w:cstheme="majorBidi"/>
      <w:color w:val="272727" w:themeColor="text1" w:themeTint="D8"/>
      <w:sz w:val="21"/>
      <w:szCs w:val="21"/>
    </w:rPr>
  </w:style>
  <w:style w:type="character" w:customStyle="1" w:styleId="Heading9Char">
    <w:name w:val="Heading 9 Char"/>
    <w:aliases w:val="Appendix Char"/>
    <w:basedOn w:val="DefaultParagraphFont"/>
    <w:link w:val="Heading9"/>
    <w:uiPriority w:val="9"/>
    <w:semiHidden/>
    <w:rsid w:val="00095532"/>
    <w:rPr>
      <w:rFonts w:eastAsiaTheme="majorEastAsia" w:cstheme="majorBidi"/>
      <w:b/>
      <w:iCs/>
      <w:color w:val="231EDC" w:themeColor="accent1"/>
      <w:sz w:val="32"/>
      <w:szCs w:val="21"/>
    </w:rPr>
  </w:style>
  <w:style w:type="numbering" w:styleId="ArticleSection">
    <w:name w:val="Outline List 3"/>
    <w:aliases w:val="REMOVE 3"/>
    <w:basedOn w:val="NoList"/>
    <w:uiPriority w:val="99"/>
    <w:semiHidden/>
    <w:unhideWhenUsed/>
    <w:locked/>
    <w:rsid w:val="00E6345A"/>
    <w:pPr>
      <w:numPr>
        <w:numId w:val="3"/>
      </w:numPr>
    </w:pPr>
  </w:style>
  <w:style w:type="paragraph" w:customStyle="1" w:styleId="TableTextItalic">
    <w:name w:val="Table Text Italic"/>
    <w:basedOn w:val="TableText"/>
    <w:uiPriority w:val="99"/>
    <w:semiHidden/>
    <w:rsid w:val="00767E98"/>
    <w:rPr>
      <w:i/>
    </w:rPr>
  </w:style>
  <w:style w:type="paragraph" w:customStyle="1" w:styleId="CaptionSubText">
    <w:name w:val="Caption Sub Text"/>
    <w:basedOn w:val="Caption"/>
    <w:next w:val="BodyText"/>
    <w:uiPriority w:val="99"/>
    <w:semiHidden/>
    <w:rsid w:val="004B2105"/>
    <w:rPr>
      <w:rFonts w:cs="Jacobs Chronos Light"/>
      <w:b w:val="0"/>
      <w:szCs w:val="16"/>
    </w:rPr>
  </w:style>
  <w:style w:type="paragraph" w:customStyle="1" w:styleId="Footnote">
    <w:name w:val="Footnote"/>
    <w:basedOn w:val="BodyText"/>
    <w:next w:val="BodyText"/>
    <w:uiPriority w:val="99"/>
    <w:semiHidden/>
    <w:rsid w:val="00025ACF"/>
    <w:pPr>
      <w:numPr>
        <w:numId w:val="4"/>
      </w:numPr>
      <w:spacing w:before="40" w:after="40"/>
      <w:ind w:left="170" w:hanging="170"/>
    </w:pPr>
    <w:rPr>
      <w:rFonts w:cs="Jacobs Chronos Light"/>
      <w:sz w:val="16"/>
      <w:szCs w:val="16"/>
    </w:rPr>
  </w:style>
  <w:style w:type="paragraph" w:customStyle="1" w:styleId="QuoteText">
    <w:name w:val="Quote Text"/>
    <w:basedOn w:val="Normal"/>
    <w:uiPriority w:val="7"/>
    <w:rsid w:val="00095532"/>
    <w:pPr>
      <w:spacing w:before="60" w:after="40"/>
    </w:pPr>
    <w:rPr>
      <w:rFonts w:asciiTheme="minorHAnsi" w:hAnsiTheme="minorHAnsi"/>
      <w:i/>
      <w:color w:val="231EDC" w:themeColor="accent1"/>
    </w:rPr>
  </w:style>
  <w:style w:type="paragraph" w:customStyle="1" w:styleId="QuoteAuthor">
    <w:name w:val="Quote Author"/>
    <w:basedOn w:val="Normal"/>
    <w:uiPriority w:val="8"/>
    <w:rsid w:val="00095532"/>
    <w:pPr>
      <w:spacing w:before="40" w:after="40"/>
    </w:pPr>
    <w:rPr>
      <w:rFonts w:asciiTheme="minorHAnsi" w:hAnsiTheme="minorHAnsi"/>
      <w:color w:val="333333" w:themeColor="text2"/>
    </w:rPr>
  </w:style>
  <w:style w:type="paragraph" w:customStyle="1" w:styleId="QuoteAuthorTitle">
    <w:name w:val="Quote Author Title"/>
    <w:basedOn w:val="Normal"/>
    <w:next w:val="BodyText"/>
    <w:uiPriority w:val="8"/>
    <w:rsid w:val="00095532"/>
    <w:pPr>
      <w:spacing w:before="40" w:after="60"/>
    </w:pPr>
    <w:rPr>
      <w:rFonts w:asciiTheme="minorHAnsi" w:hAnsiTheme="minorHAnsi"/>
      <w:i/>
      <w:color w:val="333333" w:themeColor="text2"/>
      <w:sz w:val="16"/>
    </w:rPr>
  </w:style>
  <w:style w:type="paragraph" w:customStyle="1" w:styleId="FigureCaption">
    <w:name w:val="Figure Caption"/>
    <w:basedOn w:val="Caption"/>
    <w:next w:val="BodyText"/>
    <w:uiPriority w:val="99"/>
    <w:semiHidden/>
    <w:rsid w:val="00095532"/>
  </w:style>
  <w:style w:type="paragraph" w:customStyle="1" w:styleId="TableNumberandTitle">
    <w:name w:val="Table Number and Title"/>
    <w:next w:val="TableCaption"/>
    <w:uiPriority w:val="99"/>
    <w:semiHidden/>
    <w:rsid w:val="00552B1D"/>
    <w:pPr>
      <w:keepNext/>
      <w:numPr>
        <w:numId w:val="15"/>
      </w:numPr>
      <w:spacing w:before="120" w:after="40"/>
    </w:pPr>
    <w:rPr>
      <w:b/>
      <w:color w:val="333333"/>
    </w:rPr>
  </w:style>
  <w:style w:type="paragraph" w:customStyle="1" w:styleId="TableCaption">
    <w:name w:val="Table Caption"/>
    <w:basedOn w:val="Caption"/>
    <w:next w:val="BodyText"/>
    <w:uiPriority w:val="99"/>
    <w:semiHidden/>
    <w:rsid w:val="00095532"/>
  </w:style>
  <w:style w:type="numbering" w:customStyle="1" w:styleId="JacobsNumberedHeadings">
    <w:name w:val="Jacobs Numbered Headings"/>
    <w:uiPriority w:val="99"/>
    <w:semiHidden/>
    <w:rsid w:val="004B2105"/>
    <w:pPr>
      <w:numPr>
        <w:numId w:val="10"/>
      </w:numPr>
    </w:pPr>
  </w:style>
  <w:style w:type="numbering" w:customStyle="1" w:styleId="JacobsAppendixHeadings">
    <w:name w:val="Jacobs Appendix Headings"/>
    <w:uiPriority w:val="99"/>
    <w:semiHidden/>
    <w:rsid w:val="00D303A2"/>
    <w:pPr>
      <w:numPr>
        <w:numId w:val="9"/>
      </w:numPr>
    </w:pPr>
  </w:style>
  <w:style w:type="numbering" w:customStyle="1" w:styleId="JacobsSequential111Format">
    <w:name w:val="Jacobs Sequential 1.1.1 Format"/>
    <w:uiPriority w:val="99"/>
    <w:semiHidden/>
    <w:rsid w:val="002D7A04"/>
    <w:pPr>
      <w:numPr>
        <w:numId w:val="7"/>
      </w:numPr>
    </w:pPr>
  </w:style>
  <w:style w:type="paragraph" w:customStyle="1" w:styleId="InstructionalText">
    <w:name w:val="Instructional Text"/>
    <w:uiPriority w:val="99"/>
    <w:semiHidden/>
    <w:rsid w:val="004B2105"/>
    <w:pPr>
      <w:spacing w:before="120" w:after="120"/>
    </w:pPr>
    <w:rPr>
      <w:i/>
      <w:sz w:val="18"/>
    </w:rPr>
  </w:style>
  <w:style w:type="numbering" w:customStyle="1" w:styleId="REMOVE">
    <w:name w:val="REMOVE"/>
    <w:uiPriority w:val="99"/>
    <w:semiHidden/>
    <w:rsid w:val="00D743AC"/>
    <w:pPr>
      <w:numPr>
        <w:numId w:val="5"/>
      </w:numPr>
    </w:pPr>
  </w:style>
  <w:style w:type="paragraph" w:customStyle="1" w:styleId="BodyText4Number">
    <w:name w:val="Body Text 4 Number"/>
    <w:basedOn w:val="Normal"/>
    <w:uiPriority w:val="2"/>
    <w:rsid w:val="00095532"/>
    <w:pPr>
      <w:numPr>
        <w:ilvl w:val="3"/>
        <w:numId w:val="22"/>
      </w:numPr>
      <w:spacing w:after="120"/>
      <w:contextualSpacing/>
    </w:pPr>
  </w:style>
  <w:style w:type="paragraph" w:styleId="TOC1">
    <w:name w:val="toc 1"/>
    <w:basedOn w:val="Normal"/>
    <w:next w:val="Normal"/>
    <w:autoRedefine/>
    <w:uiPriority w:val="39"/>
    <w:locked/>
    <w:rsid w:val="00095532"/>
    <w:pPr>
      <w:spacing w:after="100"/>
      <w:ind w:left="567" w:hanging="567"/>
    </w:pPr>
    <w:rPr>
      <w:b/>
    </w:rPr>
  </w:style>
  <w:style w:type="paragraph" w:styleId="TOC2">
    <w:name w:val="toc 2"/>
    <w:basedOn w:val="Normal"/>
    <w:next w:val="Normal"/>
    <w:autoRedefine/>
    <w:uiPriority w:val="39"/>
    <w:locked/>
    <w:rsid w:val="00095532"/>
    <w:pPr>
      <w:spacing w:after="100"/>
      <w:ind w:left="1134" w:hanging="567"/>
    </w:pPr>
  </w:style>
  <w:style w:type="paragraph" w:styleId="TOC3">
    <w:name w:val="toc 3"/>
    <w:basedOn w:val="Normal"/>
    <w:next w:val="Normal"/>
    <w:autoRedefine/>
    <w:uiPriority w:val="39"/>
    <w:locked/>
    <w:rsid w:val="00095532"/>
    <w:pPr>
      <w:spacing w:after="100"/>
      <w:ind w:left="1701" w:hanging="567"/>
    </w:pPr>
  </w:style>
  <w:style w:type="paragraph" w:styleId="TOCHeading">
    <w:name w:val="TOC Heading"/>
    <w:basedOn w:val="Normal"/>
    <w:next w:val="Normal"/>
    <w:uiPriority w:val="39"/>
    <w:qFormat/>
    <w:locked/>
    <w:rsid w:val="00095532"/>
    <w:pPr>
      <w:spacing w:before="120" w:after="120"/>
      <w:outlineLvl w:val="0"/>
    </w:pPr>
    <w:rPr>
      <w:b/>
      <w:color w:val="231EDC" w:themeColor="accent1"/>
      <w:sz w:val="28"/>
    </w:rPr>
  </w:style>
  <w:style w:type="paragraph" w:customStyle="1" w:styleId="TableBullet2ndLevel">
    <w:name w:val="Table Bullet 2nd Level"/>
    <w:basedOn w:val="TableBullet"/>
    <w:uiPriority w:val="99"/>
    <w:semiHidden/>
    <w:rsid w:val="00025ACF"/>
    <w:pPr>
      <w:numPr>
        <w:numId w:val="6"/>
      </w:numPr>
      <w:ind w:left="340" w:hanging="170"/>
    </w:pPr>
  </w:style>
  <w:style w:type="numbering" w:customStyle="1" w:styleId="JacobsTableNumbersList">
    <w:name w:val="Jacobs Table Numbers List"/>
    <w:uiPriority w:val="99"/>
    <w:semiHidden/>
    <w:rsid w:val="008E484D"/>
    <w:pPr>
      <w:numPr>
        <w:numId w:val="8"/>
      </w:numPr>
    </w:pPr>
  </w:style>
  <w:style w:type="paragraph" w:styleId="FootnoteText">
    <w:name w:val="footnote text"/>
    <w:aliases w:val="~FootnoteText"/>
    <w:basedOn w:val="Normal"/>
    <w:link w:val="FootnoteTextChar"/>
    <w:uiPriority w:val="99"/>
    <w:locked/>
    <w:rsid w:val="00095532"/>
    <w:pPr>
      <w:spacing w:before="60" w:after="60"/>
      <w:ind w:left="176" w:hanging="176"/>
    </w:pPr>
    <w:rPr>
      <w:sz w:val="16"/>
    </w:rPr>
  </w:style>
  <w:style w:type="character" w:customStyle="1" w:styleId="FootnoteTextChar">
    <w:name w:val="Footnote Text Char"/>
    <w:aliases w:val="~FootnoteText Char"/>
    <w:basedOn w:val="DefaultParagraphFont"/>
    <w:link w:val="FootnoteText"/>
    <w:uiPriority w:val="99"/>
    <w:rsid w:val="00095532"/>
    <w:rPr>
      <w:sz w:val="16"/>
    </w:rPr>
  </w:style>
  <w:style w:type="paragraph" w:customStyle="1" w:styleId="HeaderSpacer">
    <w:name w:val="Header Spacer"/>
    <w:basedOn w:val="Header"/>
    <w:uiPriority w:val="99"/>
    <w:semiHidden/>
    <w:rsid w:val="00095532"/>
    <w:rPr>
      <w:sz w:val="16"/>
    </w:rPr>
  </w:style>
  <w:style w:type="paragraph" w:customStyle="1" w:styleId="AcronymText">
    <w:name w:val="Acronym Text"/>
    <w:basedOn w:val="BodyText"/>
    <w:uiPriority w:val="99"/>
    <w:semiHidden/>
    <w:rsid w:val="00F32340"/>
    <w:rPr>
      <w:rFonts w:eastAsia="Times New Roman" w:cs="Times New Roman"/>
    </w:rPr>
  </w:style>
  <w:style w:type="paragraph" w:styleId="BodyText">
    <w:name w:val="Body Text"/>
    <w:basedOn w:val="Normal"/>
    <w:link w:val="BodyTextChar"/>
    <w:qFormat/>
    <w:rsid w:val="000328FC"/>
    <w:pPr>
      <w:spacing w:before="300" w:after="180" w:line="240" w:lineRule="auto"/>
    </w:pPr>
    <w:rPr>
      <w:rFonts w:ascii="Jacobs Chronos" w:hAnsi="Jacobs Chronos"/>
    </w:rPr>
  </w:style>
  <w:style w:type="character" w:customStyle="1" w:styleId="BodyTextChar">
    <w:name w:val="Body Text Char"/>
    <w:basedOn w:val="DefaultParagraphFont"/>
    <w:link w:val="BodyText"/>
    <w:rsid w:val="000328FC"/>
    <w:rPr>
      <w:rFonts w:ascii="Jacobs Chronos" w:hAnsi="Jacobs Chronos"/>
    </w:rPr>
  </w:style>
  <w:style w:type="paragraph" w:customStyle="1" w:styleId="TableNotes">
    <w:name w:val="Table Notes"/>
    <w:basedOn w:val="Normal"/>
    <w:uiPriority w:val="6"/>
    <w:qFormat/>
    <w:rsid w:val="00095532"/>
    <w:pPr>
      <w:spacing w:before="80" w:after="80"/>
    </w:pPr>
    <w:rPr>
      <w:sz w:val="16"/>
    </w:rPr>
  </w:style>
  <w:style w:type="paragraph" w:styleId="Caption">
    <w:name w:val="caption"/>
    <w:basedOn w:val="Normal"/>
    <w:next w:val="BodyText"/>
    <w:uiPriority w:val="99"/>
    <w:semiHidden/>
    <w:qFormat/>
    <w:locked/>
    <w:rsid w:val="00095532"/>
    <w:pPr>
      <w:keepNext/>
      <w:spacing w:before="120" w:after="40"/>
    </w:pPr>
    <w:rPr>
      <w:b/>
      <w:iCs/>
      <w:color w:val="333333" w:themeColor="text2"/>
      <w:szCs w:val="18"/>
    </w:rPr>
  </w:style>
  <w:style w:type="paragraph" w:customStyle="1" w:styleId="TableNotesIndented">
    <w:name w:val="Table Notes Indented"/>
    <w:basedOn w:val="Normal"/>
    <w:uiPriority w:val="6"/>
    <w:qFormat/>
    <w:rsid w:val="00095532"/>
    <w:pPr>
      <w:spacing w:before="80" w:after="80"/>
      <w:ind w:left="113"/>
    </w:pPr>
    <w:rPr>
      <w:sz w:val="16"/>
    </w:rPr>
  </w:style>
  <w:style w:type="character" w:styleId="PlaceholderText">
    <w:name w:val="Placeholder Text"/>
    <w:basedOn w:val="DefaultParagraphFont"/>
    <w:uiPriority w:val="99"/>
    <w:semiHidden/>
    <w:locked/>
    <w:rsid w:val="00095532"/>
    <w:rPr>
      <w:i/>
      <w:color w:val="auto"/>
      <w:bdr w:val="none" w:sz="0" w:space="0" w:color="auto"/>
      <w:shd w:val="clear" w:color="auto" w:fill="auto"/>
    </w:rPr>
  </w:style>
  <w:style w:type="paragraph" w:customStyle="1" w:styleId="TableBullet3rdLevel">
    <w:name w:val="Table Bullet 3rd Level"/>
    <w:basedOn w:val="TableBullet2ndLevel"/>
    <w:uiPriority w:val="99"/>
    <w:semiHidden/>
    <w:rsid w:val="00025ACF"/>
    <w:pPr>
      <w:numPr>
        <w:numId w:val="11"/>
      </w:numPr>
      <w:ind w:left="510" w:hanging="170"/>
    </w:pPr>
  </w:style>
  <w:style w:type="character" w:styleId="FootnoteReference">
    <w:name w:val="footnote reference"/>
    <w:basedOn w:val="DefaultParagraphFont"/>
    <w:uiPriority w:val="99"/>
    <w:unhideWhenUsed/>
    <w:locked/>
    <w:rsid w:val="00095532"/>
    <w:rPr>
      <w:vertAlign w:val="superscript"/>
    </w:rPr>
  </w:style>
  <w:style w:type="numbering" w:customStyle="1" w:styleId="JacobsTableNumberTitle">
    <w:name w:val="Jacobs Table Number &amp; Title"/>
    <w:uiPriority w:val="99"/>
    <w:semiHidden/>
    <w:rsid w:val="00552B1D"/>
    <w:pPr>
      <w:numPr>
        <w:numId w:val="12"/>
      </w:numPr>
    </w:pPr>
  </w:style>
  <w:style w:type="paragraph" w:styleId="BodyText3">
    <w:name w:val="Body Text 3"/>
    <w:basedOn w:val="Normal"/>
    <w:link w:val="BodyText3Char"/>
    <w:uiPriority w:val="99"/>
    <w:semiHidden/>
    <w:unhideWhenUsed/>
    <w:locked/>
    <w:rsid w:val="00095532"/>
    <w:pPr>
      <w:spacing w:after="120"/>
    </w:pPr>
    <w:rPr>
      <w:sz w:val="16"/>
      <w:szCs w:val="16"/>
    </w:rPr>
  </w:style>
  <w:style w:type="character" w:customStyle="1" w:styleId="BodyText3Char">
    <w:name w:val="Body Text 3 Char"/>
    <w:basedOn w:val="DefaultParagraphFont"/>
    <w:link w:val="BodyText3"/>
    <w:uiPriority w:val="99"/>
    <w:semiHidden/>
    <w:rsid w:val="00095532"/>
    <w:rPr>
      <w:sz w:val="16"/>
      <w:szCs w:val="16"/>
    </w:rPr>
  </w:style>
  <w:style w:type="numbering" w:customStyle="1" w:styleId="FigureNumberTitle">
    <w:name w:val="Figure Number &amp; Title"/>
    <w:uiPriority w:val="99"/>
    <w:semiHidden/>
    <w:rsid w:val="00552B1D"/>
    <w:pPr>
      <w:numPr>
        <w:numId w:val="13"/>
      </w:numPr>
    </w:pPr>
  </w:style>
  <w:style w:type="paragraph" w:customStyle="1" w:styleId="TableHeadingWhite">
    <w:name w:val="Table Heading White"/>
    <w:basedOn w:val="Normal"/>
    <w:uiPriority w:val="3"/>
    <w:qFormat/>
    <w:rsid w:val="00095532"/>
    <w:pPr>
      <w:keepNext/>
      <w:spacing w:before="60" w:after="60"/>
    </w:pPr>
    <w:rPr>
      <w:rFonts w:asciiTheme="minorHAnsi" w:hAnsiTheme="minorHAnsi"/>
      <w:b/>
      <w:color w:val="FFFFFF" w:themeColor="background1"/>
      <w:sz w:val="22"/>
    </w:rPr>
  </w:style>
  <w:style w:type="paragraph" w:styleId="ListParagraph">
    <w:name w:val="List Paragraph"/>
    <w:basedOn w:val="Normal"/>
    <w:qFormat/>
    <w:locked/>
    <w:rsid w:val="00095532"/>
    <w:pPr>
      <w:ind w:left="720"/>
      <w:contextualSpacing/>
    </w:pPr>
  </w:style>
  <w:style w:type="paragraph" w:customStyle="1" w:styleId="BlankPage">
    <w:name w:val="Blank Page"/>
    <w:basedOn w:val="Normal"/>
    <w:uiPriority w:val="99"/>
    <w:semiHidden/>
    <w:rsid w:val="00095532"/>
    <w:rPr>
      <w:rFonts w:eastAsiaTheme="majorEastAsia" w:cs="Jacobs Chronos Light"/>
      <w:b/>
      <w:color w:val="231EDC" w:themeColor="accent1"/>
      <w:sz w:val="28"/>
      <w:szCs w:val="56"/>
    </w:rPr>
  </w:style>
  <w:style w:type="table" w:customStyle="1" w:styleId="TableGrid1">
    <w:name w:val="Table Grid1"/>
    <w:basedOn w:val="TableNormal"/>
    <w:next w:val="TableGrid"/>
    <w:uiPriority w:val="99"/>
    <w:semiHidden/>
    <w:locked/>
    <w:rsid w:val="00F258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semiHidden/>
    <w:qFormat/>
    <w:locked/>
    <w:rsid w:val="00095532"/>
    <w:pPr>
      <w:spacing w:line="240" w:lineRule="auto"/>
    </w:pPr>
  </w:style>
  <w:style w:type="numbering" w:customStyle="1" w:styleId="Headings">
    <w:name w:val="Headings"/>
    <w:uiPriority w:val="99"/>
    <w:semiHidden/>
    <w:rsid w:val="00095532"/>
    <w:pPr>
      <w:numPr>
        <w:numId w:val="19"/>
      </w:numPr>
    </w:pPr>
  </w:style>
  <w:style w:type="paragraph" w:customStyle="1" w:styleId="TableNumber">
    <w:name w:val="Table Number"/>
    <w:basedOn w:val="Normal"/>
    <w:uiPriority w:val="5"/>
    <w:rsid w:val="00095532"/>
    <w:pPr>
      <w:numPr>
        <w:numId w:val="30"/>
      </w:numPr>
      <w:spacing w:before="40" w:after="40"/>
    </w:pPr>
    <w:rPr>
      <w:rFonts w:asciiTheme="minorHAnsi" w:hAnsiTheme="minorHAnsi"/>
      <w:sz w:val="18"/>
    </w:rPr>
  </w:style>
  <w:style w:type="paragraph" w:styleId="Title">
    <w:name w:val="Title"/>
    <w:basedOn w:val="Normal"/>
    <w:next w:val="Normal"/>
    <w:link w:val="TitleChar"/>
    <w:uiPriority w:val="99"/>
    <w:semiHidden/>
    <w:qFormat/>
    <w:locked/>
    <w:rsid w:val="0009553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semiHidden/>
    <w:rsid w:val="00095532"/>
    <w:rPr>
      <w:rFonts w:eastAsiaTheme="majorEastAsia" w:cstheme="majorBidi"/>
      <w:spacing w:val="-10"/>
      <w:kern w:val="28"/>
      <w:sz w:val="56"/>
      <w:szCs w:val="56"/>
    </w:rPr>
  </w:style>
  <w:style w:type="paragraph" w:styleId="Bibliography">
    <w:name w:val="Bibliography"/>
    <w:basedOn w:val="Normal"/>
    <w:next w:val="Normal"/>
    <w:uiPriority w:val="99"/>
    <w:semiHidden/>
    <w:unhideWhenUsed/>
    <w:locked/>
    <w:rsid w:val="00095532"/>
  </w:style>
  <w:style w:type="paragraph" w:styleId="BlockText">
    <w:name w:val="Block Text"/>
    <w:basedOn w:val="Normal"/>
    <w:uiPriority w:val="99"/>
    <w:semiHidden/>
    <w:unhideWhenUsed/>
    <w:locked/>
    <w:rsid w:val="00095532"/>
    <w:pPr>
      <w:pBdr>
        <w:top w:val="single" w:sz="2" w:space="10" w:color="231EDC" w:themeColor="accent1" w:frame="1"/>
        <w:left w:val="single" w:sz="2" w:space="10" w:color="231EDC" w:themeColor="accent1" w:frame="1"/>
        <w:bottom w:val="single" w:sz="2" w:space="10" w:color="231EDC" w:themeColor="accent1" w:frame="1"/>
        <w:right w:val="single" w:sz="2" w:space="10" w:color="231EDC" w:themeColor="accent1" w:frame="1"/>
      </w:pBdr>
      <w:ind w:left="1152" w:right="1152"/>
    </w:pPr>
    <w:rPr>
      <w:i/>
      <w:iCs/>
      <w:color w:val="231EDC" w:themeColor="accent1"/>
    </w:rPr>
  </w:style>
  <w:style w:type="paragraph" w:styleId="BodyText2">
    <w:name w:val="Body Text 2"/>
    <w:basedOn w:val="Normal"/>
    <w:link w:val="BodyText2Char"/>
    <w:uiPriority w:val="99"/>
    <w:semiHidden/>
    <w:unhideWhenUsed/>
    <w:locked/>
    <w:rsid w:val="00095532"/>
    <w:pPr>
      <w:spacing w:after="120" w:line="480" w:lineRule="auto"/>
    </w:pPr>
  </w:style>
  <w:style w:type="character" w:customStyle="1" w:styleId="BodyText2Char">
    <w:name w:val="Body Text 2 Char"/>
    <w:basedOn w:val="DefaultParagraphFont"/>
    <w:link w:val="BodyText2"/>
    <w:uiPriority w:val="99"/>
    <w:semiHidden/>
    <w:rsid w:val="00095532"/>
  </w:style>
  <w:style w:type="paragraph" w:styleId="BodyTextFirstIndent">
    <w:name w:val="Body Text First Indent"/>
    <w:basedOn w:val="BodyText"/>
    <w:link w:val="BodyTextFirstIndentChar"/>
    <w:uiPriority w:val="99"/>
    <w:semiHidden/>
    <w:unhideWhenUsed/>
    <w:locked/>
    <w:rsid w:val="00095532"/>
    <w:pPr>
      <w:spacing w:after="0"/>
      <w:ind w:firstLine="360"/>
    </w:pPr>
  </w:style>
  <w:style w:type="character" w:customStyle="1" w:styleId="BodyTextFirstIndentChar">
    <w:name w:val="Body Text First Indent Char"/>
    <w:basedOn w:val="BodyTextChar"/>
    <w:link w:val="BodyTextFirstIndent"/>
    <w:uiPriority w:val="99"/>
    <w:semiHidden/>
    <w:rsid w:val="00095532"/>
    <w:rPr>
      <w:rFonts w:ascii="Jacobs Chronos" w:hAnsi="Jacobs Chronos"/>
    </w:rPr>
  </w:style>
  <w:style w:type="paragraph" w:styleId="BodyTextIndent">
    <w:name w:val="Body Text Indent"/>
    <w:basedOn w:val="Normal"/>
    <w:link w:val="BodyTextIndentChar"/>
    <w:uiPriority w:val="99"/>
    <w:semiHidden/>
    <w:unhideWhenUsed/>
    <w:locked/>
    <w:rsid w:val="000449AA"/>
    <w:pPr>
      <w:spacing w:after="120"/>
      <w:ind w:left="283"/>
    </w:pPr>
  </w:style>
  <w:style w:type="character" w:customStyle="1" w:styleId="BodyTextIndentChar">
    <w:name w:val="Body Text Indent Char"/>
    <w:basedOn w:val="DefaultParagraphFont"/>
    <w:link w:val="BodyTextIndent"/>
    <w:uiPriority w:val="99"/>
    <w:semiHidden/>
    <w:rsid w:val="000449AA"/>
    <w:rPr>
      <w:rFonts w:ascii="Jacobs Chronos" w:eastAsiaTheme="minorEastAsia" w:hAnsi="Jacobs Chronos"/>
      <w:szCs w:val="22"/>
    </w:rPr>
  </w:style>
  <w:style w:type="paragraph" w:styleId="BodyTextFirstIndent2">
    <w:name w:val="Body Text First Indent 2"/>
    <w:basedOn w:val="Normal"/>
    <w:link w:val="BodyTextFirstIndent2Char"/>
    <w:uiPriority w:val="99"/>
    <w:semiHidden/>
    <w:unhideWhenUsed/>
    <w:locked/>
    <w:rsid w:val="00095532"/>
    <w:pPr>
      <w:ind w:left="360" w:firstLine="360"/>
    </w:pPr>
  </w:style>
  <w:style w:type="character" w:customStyle="1" w:styleId="BodyTextFirstIndent2Char">
    <w:name w:val="Body Text First Indent 2 Char"/>
    <w:basedOn w:val="DefaultParagraphFont"/>
    <w:link w:val="BodyTextFirstIndent2"/>
    <w:uiPriority w:val="99"/>
    <w:semiHidden/>
    <w:rsid w:val="00095532"/>
  </w:style>
  <w:style w:type="paragraph" w:styleId="BodyTextIndent2">
    <w:name w:val="Body Text Indent 2"/>
    <w:basedOn w:val="Normal"/>
    <w:link w:val="BodyTextIndent2Char"/>
    <w:uiPriority w:val="99"/>
    <w:semiHidden/>
    <w:unhideWhenUsed/>
    <w:locked/>
    <w:rsid w:val="00095532"/>
    <w:pPr>
      <w:spacing w:after="120" w:line="276" w:lineRule="auto"/>
      <w:ind w:left="1418"/>
    </w:pPr>
  </w:style>
  <w:style w:type="character" w:customStyle="1" w:styleId="BodyTextIndent2Char">
    <w:name w:val="Body Text Indent 2 Char"/>
    <w:basedOn w:val="DefaultParagraphFont"/>
    <w:link w:val="BodyTextIndent2"/>
    <w:uiPriority w:val="99"/>
    <w:semiHidden/>
    <w:rsid w:val="00095532"/>
  </w:style>
  <w:style w:type="paragraph" w:styleId="BodyTextIndent3">
    <w:name w:val="Body Text Indent 3"/>
    <w:basedOn w:val="Normal"/>
    <w:link w:val="BodyTextIndent3Char"/>
    <w:uiPriority w:val="99"/>
    <w:semiHidden/>
    <w:unhideWhenUsed/>
    <w:locked/>
    <w:rsid w:val="0009553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95532"/>
    <w:rPr>
      <w:sz w:val="16"/>
      <w:szCs w:val="16"/>
    </w:rPr>
  </w:style>
  <w:style w:type="character" w:styleId="BookTitle">
    <w:name w:val="Book Title"/>
    <w:basedOn w:val="DefaultParagraphFont"/>
    <w:uiPriority w:val="99"/>
    <w:semiHidden/>
    <w:qFormat/>
    <w:locked/>
    <w:rsid w:val="00095532"/>
    <w:rPr>
      <w:b/>
      <w:bCs/>
      <w:i/>
      <w:iCs/>
      <w:spacing w:val="5"/>
    </w:rPr>
  </w:style>
  <w:style w:type="paragraph" w:styleId="Closing">
    <w:name w:val="Closing"/>
    <w:basedOn w:val="Normal"/>
    <w:link w:val="ClosingChar"/>
    <w:uiPriority w:val="99"/>
    <w:semiHidden/>
    <w:unhideWhenUsed/>
    <w:locked/>
    <w:rsid w:val="00095532"/>
    <w:pPr>
      <w:ind w:left="4252"/>
    </w:pPr>
  </w:style>
  <w:style w:type="character" w:customStyle="1" w:styleId="ClosingChar">
    <w:name w:val="Closing Char"/>
    <w:basedOn w:val="DefaultParagraphFont"/>
    <w:link w:val="Closing"/>
    <w:uiPriority w:val="99"/>
    <w:semiHidden/>
    <w:rsid w:val="00095532"/>
  </w:style>
  <w:style w:type="table" w:styleId="ColorfulGrid">
    <w:name w:val="Colorful Grid"/>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2D1F8" w:themeFill="accent1" w:themeFillTint="33"/>
    </w:tcPr>
    <w:tblStylePr w:type="firstRow">
      <w:rPr>
        <w:b/>
        <w:bCs/>
      </w:rPr>
      <w:tblPr/>
      <w:tcPr>
        <w:shd w:val="clear" w:color="auto" w:fill="A5A3F2" w:themeFill="accent1" w:themeFillTint="66"/>
      </w:tcPr>
    </w:tblStylePr>
    <w:tblStylePr w:type="lastRow">
      <w:rPr>
        <w:b/>
        <w:bCs/>
        <w:color w:val="000000" w:themeColor="text1"/>
      </w:rPr>
      <w:tblPr/>
      <w:tcPr>
        <w:shd w:val="clear" w:color="auto" w:fill="A5A3F2" w:themeFill="accent1" w:themeFillTint="66"/>
      </w:tcPr>
    </w:tblStylePr>
    <w:tblStylePr w:type="firstCol">
      <w:rPr>
        <w:color w:val="FFFFFF" w:themeColor="background1"/>
      </w:rPr>
      <w:tblPr/>
      <w:tcPr>
        <w:shd w:val="clear" w:color="auto" w:fill="1916A4" w:themeFill="accent1" w:themeFillShade="BF"/>
      </w:tcPr>
    </w:tblStylePr>
    <w:tblStylePr w:type="lastCol">
      <w:rPr>
        <w:color w:val="FFFFFF" w:themeColor="background1"/>
      </w:rPr>
      <w:tblPr/>
      <w:tcPr>
        <w:shd w:val="clear" w:color="auto" w:fill="1916A4" w:themeFill="accent1" w:themeFillShade="BF"/>
      </w:tc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ColorfulGrid-Accent2">
    <w:name w:val="Colorful Grid Accent 2"/>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EE4FF" w:themeFill="accent2" w:themeFillTint="33"/>
    </w:tcPr>
    <w:tblStylePr w:type="firstRow">
      <w:rPr>
        <w:b/>
        <w:bCs/>
      </w:rPr>
      <w:tblPr/>
      <w:tcPr>
        <w:shd w:val="clear" w:color="auto" w:fill="9DCAFF" w:themeFill="accent2" w:themeFillTint="66"/>
      </w:tcPr>
    </w:tblStylePr>
    <w:tblStylePr w:type="lastRow">
      <w:rPr>
        <w:b/>
        <w:bCs/>
        <w:color w:val="000000" w:themeColor="text1"/>
      </w:rPr>
      <w:tblPr/>
      <w:tcPr>
        <w:shd w:val="clear" w:color="auto" w:fill="9DCAFF" w:themeFill="accent2" w:themeFillTint="66"/>
      </w:tcPr>
    </w:tblStylePr>
    <w:tblStylePr w:type="firstCol">
      <w:rPr>
        <w:color w:val="FFFFFF" w:themeColor="background1"/>
      </w:rPr>
      <w:tblPr/>
      <w:tcPr>
        <w:shd w:val="clear" w:color="auto" w:fill="005CC6" w:themeFill="accent2" w:themeFillShade="BF"/>
      </w:tcPr>
    </w:tblStylePr>
    <w:tblStylePr w:type="lastCol">
      <w:rPr>
        <w:color w:val="FFFFFF" w:themeColor="background1"/>
      </w:rPr>
      <w:tblPr/>
      <w:tcPr>
        <w:shd w:val="clear" w:color="auto" w:fill="005CC6" w:themeFill="accent2" w:themeFillShade="BF"/>
      </w:tc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ColorfulGrid-Accent3">
    <w:name w:val="Colorful Grid Accent 3"/>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EF9FF" w:themeFill="accent3" w:themeFillTint="33"/>
    </w:tcPr>
    <w:tblStylePr w:type="firstRow">
      <w:rPr>
        <w:b/>
        <w:bCs/>
      </w:rPr>
      <w:tblPr/>
      <w:tcPr>
        <w:shd w:val="clear" w:color="auto" w:fill="BDF4FF" w:themeFill="accent3" w:themeFillTint="66"/>
      </w:tcPr>
    </w:tblStylePr>
    <w:tblStylePr w:type="lastRow">
      <w:rPr>
        <w:b/>
        <w:bCs/>
        <w:color w:val="000000" w:themeColor="text1"/>
      </w:rPr>
      <w:tblPr/>
      <w:tcPr>
        <w:shd w:val="clear" w:color="auto" w:fill="BDF4FF" w:themeFill="accent3" w:themeFillTint="66"/>
      </w:tcPr>
    </w:tblStylePr>
    <w:tblStylePr w:type="firstCol">
      <w:rPr>
        <w:color w:val="FFFFFF" w:themeColor="background1"/>
      </w:rPr>
      <w:tblPr/>
      <w:tcPr>
        <w:shd w:val="clear" w:color="auto" w:fill="03D8FF" w:themeFill="accent3" w:themeFillShade="BF"/>
      </w:tcPr>
    </w:tblStylePr>
    <w:tblStylePr w:type="lastCol">
      <w:rPr>
        <w:color w:val="FFFFFF" w:themeColor="background1"/>
      </w:rPr>
      <w:tblPr/>
      <w:tcPr>
        <w:shd w:val="clear" w:color="auto" w:fill="03D8FF" w:themeFill="accent3" w:themeFillShade="BF"/>
      </w:tc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ColorfulGrid-Accent4">
    <w:name w:val="Colorful Grid Accent 4"/>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AC8FF" w:themeFill="accent4" w:themeFillTint="33"/>
    </w:tcPr>
    <w:tblStylePr w:type="firstRow">
      <w:rPr>
        <w:b/>
        <w:bCs/>
      </w:rPr>
      <w:tblPr/>
      <w:tcPr>
        <w:shd w:val="clear" w:color="auto" w:fill="5591FF" w:themeFill="accent4" w:themeFillTint="66"/>
      </w:tcPr>
    </w:tblStylePr>
    <w:tblStylePr w:type="lastRow">
      <w:rPr>
        <w:b/>
        <w:bCs/>
        <w:color w:val="000000" w:themeColor="text1"/>
      </w:rPr>
      <w:tblPr/>
      <w:tcPr>
        <w:shd w:val="clear" w:color="auto" w:fill="5591FF" w:themeFill="accent4" w:themeFillTint="66"/>
      </w:tcPr>
    </w:tblStylePr>
    <w:tblStylePr w:type="firstCol">
      <w:rPr>
        <w:color w:val="FFFFFF" w:themeColor="background1"/>
      </w:rPr>
      <w:tblPr/>
      <w:tcPr>
        <w:shd w:val="clear" w:color="auto" w:fill="00163F" w:themeFill="accent4" w:themeFillShade="BF"/>
      </w:tcPr>
    </w:tblStylePr>
    <w:tblStylePr w:type="lastCol">
      <w:rPr>
        <w:color w:val="FFFFFF" w:themeColor="background1"/>
      </w:rPr>
      <w:tblPr/>
      <w:tcPr>
        <w:shd w:val="clear" w:color="auto" w:fill="00163F" w:themeFill="accent4" w:themeFillShade="BF"/>
      </w:tc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ColorfulGrid-Accent5">
    <w:name w:val="Colorful Grid Accent 5"/>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5" w:themeFillTint="33"/>
    </w:tcPr>
    <w:tblStylePr w:type="firstRow">
      <w:rPr>
        <w:b/>
        <w:bCs/>
      </w:rPr>
      <w:tblPr/>
      <w:tcPr>
        <w:shd w:val="clear" w:color="auto" w:fill="DBDBDB" w:themeFill="accent5" w:themeFillTint="66"/>
      </w:tcPr>
    </w:tblStylePr>
    <w:tblStylePr w:type="lastRow">
      <w:rPr>
        <w:b/>
        <w:bCs/>
        <w:color w:val="000000" w:themeColor="text1"/>
      </w:rPr>
      <w:tblPr/>
      <w:tcPr>
        <w:shd w:val="clear" w:color="auto" w:fill="DBDBDB" w:themeFill="accent5" w:themeFillTint="66"/>
      </w:tcPr>
    </w:tblStylePr>
    <w:tblStylePr w:type="firstCol">
      <w:rPr>
        <w:color w:val="FFFFFF" w:themeColor="background1"/>
      </w:rPr>
      <w:tblPr/>
      <w:tcPr>
        <w:shd w:val="clear" w:color="auto" w:fill="7B7B7B" w:themeFill="accent5" w:themeFillShade="BF"/>
      </w:tcPr>
    </w:tblStylePr>
    <w:tblStylePr w:type="lastCol">
      <w:rPr>
        <w:color w:val="FFFFFF" w:themeColor="background1"/>
      </w:rPr>
      <w:tblPr/>
      <w:tcPr>
        <w:shd w:val="clear" w:color="auto" w:fill="7B7B7B" w:themeFill="accent5" w:themeFillShade="BF"/>
      </w:tc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ColorfulGrid-Accent6">
    <w:name w:val="Colorful Grid Accent 6"/>
    <w:basedOn w:val="TableNormal"/>
    <w:uiPriority w:val="73"/>
    <w:semiHidden/>
    <w:unhideWhenUsed/>
    <w:locked/>
    <w:rsid w:val="0009553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E8E8FC" w:themeFill="accen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6F7" w:themeFill="accent1" w:themeFillTint="3F"/>
      </w:tcPr>
    </w:tblStylePr>
    <w:tblStylePr w:type="band1Horz">
      <w:tblPr/>
      <w:tcPr>
        <w:shd w:val="clear" w:color="auto" w:fill="D2D1F8" w:themeFill="accent1" w:themeFillTint="33"/>
      </w:tcPr>
    </w:tblStylePr>
  </w:style>
  <w:style w:type="table" w:styleId="ColorfulList-Accent2">
    <w:name w:val="Colorful List Accent 2"/>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E6F2FF" w:themeFill="accent2"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EFF" w:themeFill="accent2" w:themeFillTint="3F"/>
      </w:tcPr>
    </w:tblStylePr>
    <w:tblStylePr w:type="band1Horz">
      <w:tblPr/>
      <w:tcPr>
        <w:shd w:val="clear" w:color="auto" w:fill="CEE4FF" w:themeFill="accent2" w:themeFillTint="33"/>
      </w:tcPr>
    </w:tblStylePr>
  </w:style>
  <w:style w:type="table" w:styleId="ColorfulList-Accent3">
    <w:name w:val="Colorful List Accent 3"/>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EEFCFF" w:themeFill="accent3" w:themeFillTint="19"/>
    </w:tcPr>
    <w:tblStylePr w:type="firstRow">
      <w:rPr>
        <w:b/>
        <w:bCs/>
        <w:color w:val="FFFFFF" w:themeColor="background1"/>
      </w:rPr>
      <w:tblPr/>
      <w:tcPr>
        <w:tcBorders>
          <w:bottom w:val="single" w:sz="12" w:space="0" w:color="FFFFFF" w:themeColor="background1"/>
        </w:tcBorders>
        <w:shd w:val="clear" w:color="auto" w:fill="001844" w:themeFill="accent4" w:themeFillShade="CC"/>
      </w:tcPr>
    </w:tblStylePr>
    <w:tblStylePr w:type="lastRow">
      <w:rPr>
        <w:b/>
        <w:bCs/>
        <w:color w:val="00184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8FF" w:themeFill="accent3" w:themeFillTint="3F"/>
      </w:tcPr>
    </w:tblStylePr>
    <w:tblStylePr w:type="band1Horz">
      <w:tblPr/>
      <w:tcPr>
        <w:shd w:val="clear" w:color="auto" w:fill="DEF9FF" w:themeFill="accent3" w:themeFillTint="33"/>
      </w:tcPr>
    </w:tblStylePr>
  </w:style>
  <w:style w:type="table" w:styleId="ColorfulList-Accent4">
    <w:name w:val="Colorful List Accent 4"/>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D5E4FF" w:themeFill="accent4" w:themeFillTint="19"/>
    </w:tcPr>
    <w:tblStylePr w:type="firstRow">
      <w:rPr>
        <w:b/>
        <w:bCs/>
        <w:color w:val="FFFFFF" w:themeColor="background1"/>
      </w:rPr>
      <w:tblPr/>
      <w:tcPr>
        <w:tcBorders>
          <w:bottom w:val="single" w:sz="12" w:space="0" w:color="FFFFFF" w:themeColor="background1"/>
        </w:tcBorders>
        <w:shd w:val="clear" w:color="auto" w:fill="15DBFF" w:themeFill="accent3" w:themeFillShade="CC"/>
      </w:tcPr>
    </w:tblStylePr>
    <w:tblStylePr w:type="lastRow">
      <w:rPr>
        <w:b/>
        <w:bCs/>
        <w:color w:val="15DB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BBFF" w:themeFill="accent4" w:themeFillTint="3F"/>
      </w:tcPr>
    </w:tblStylePr>
    <w:tblStylePr w:type="band1Horz">
      <w:tblPr/>
      <w:tcPr>
        <w:shd w:val="clear" w:color="auto" w:fill="AAC8FF" w:themeFill="accent4" w:themeFillTint="33"/>
      </w:tcPr>
    </w:tblStylePr>
  </w:style>
  <w:style w:type="table" w:styleId="ColorfulList-Accent5">
    <w:name w:val="Colorful List Accent 5"/>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F6F6F6"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5" w:themeFillTint="3F"/>
      </w:tcPr>
    </w:tblStylePr>
    <w:tblStylePr w:type="band1Horz">
      <w:tblPr/>
      <w:tcPr>
        <w:shd w:val="clear" w:color="auto" w:fill="EDEDED" w:themeFill="accent5" w:themeFillTint="33"/>
      </w:tcPr>
    </w:tblStylePr>
  </w:style>
  <w:style w:type="table" w:styleId="ColorfulList-Accent6">
    <w:name w:val="Colorful List Accent 6"/>
    <w:basedOn w:val="TableNormal"/>
    <w:uiPriority w:val="72"/>
    <w:semiHidden/>
    <w:unhideWhenUsed/>
    <w:locked/>
    <w:rsid w:val="00095532"/>
    <w:pPr>
      <w:spacing w:line="240" w:lineRule="auto"/>
    </w:pPr>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848484" w:themeFill="accent5" w:themeFillShade="CC"/>
      </w:tcPr>
    </w:tblStylePr>
    <w:tblStylePr w:type="lastRow">
      <w:rPr>
        <w:b/>
        <w:bCs/>
        <w:color w:val="8484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0A7D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0A7DFF" w:themeColor="accent2"/>
        <w:left w:val="single" w:sz="4" w:space="0" w:color="231EDC" w:themeColor="accent1"/>
        <w:bottom w:val="single" w:sz="4" w:space="0" w:color="231EDC" w:themeColor="accent1"/>
        <w:right w:val="single" w:sz="4" w:space="0" w:color="231EDC" w:themeColor="accent1"/>
        <w:insideH w:val="single" w:sz="4" w:space="0" w:color="FFFFFF" w:themeColor="background1"/>
        <w:insideV w:val="single" w:sz="4" w:space="0" w:color="FFFFFF" w:themeColor="background1"/>
      </w:tblBorders>
    </w:tblPr>
    <w:tcPr>
      <w:shd w:val="clear" w:color="auto" w:fill="E8E8FC" w:themeFill="accen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83" w:themeFill="accent1" w:themeFillShade="99"/>
      </w:tcPr>
    </w:tblStylePr>
    <w:tblStylePr w:type="firstCol">
      <w:rPr>
        <w:color w:val="FFFFFF" w:themeColor="background1"/>
      </w:rPr>
      <w:tblPr/>
      <w:tcPr>
        <w:tcBorders>
          <w:top w:val="nil"/>
          <w:left w:val="nil"/>
          <w:bottom w:val="nil"/>
          <w:right w:val="nil"/>
          <w:insideH w:val="single" w:sz="4" w:space="0" w:color="141283" w:themeColor="accent1" w:themeShade="99"/>
          <w:insideV w:val="nil"/>
        </w:tcBorders>
        <w:shd w:val="clear" w:color="auto" w:fill="14128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1283" w:themeFill="accent1" w:themeFillShade="99"/>
      </w:tcPr>
    </w:tblStylePr>
    <w:tblStylePr w:type="band1Vert">
      <w:tblPr/>
      <w:tcPr>
        <w:shd w:val="clear" w:color="auto" w:fill="A5A3F2" w:themeFill="accent1" w:themeFillTint="66"/>
      </w:tcPr>
    </w:tblStylePr>
    <w:tblStylePr w:type="band1Horz">
      <w:tblPr/>
      <w:tcPr>
        <w:shd w:val="clear" w:color="auto" w:fill="8F8C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0A7DFF" w:themeColor="accent2"/>
        <w:left w:val="single" w:sz="4" w:space="0" w:color="0A7DFF" w:themeColor="accent2"/>
        <w:bottom w:val="single" w:sz="4" w:space="0" w:color="0A7DFF" w:themeColor="accent2"/>
        <w:right w:val="single" w:sz="4" w:space="0" w:color="0A7DFF" w:themeColor="accent2"/>
        <w:insideH w:val="single" w:sz="4" w:space="0" w:color="FFFFFF" w:themeColor="background1"/>
        <w:insideV w:val="single" w:sz="4" w:space="0" w:color="FFFFFF" w:themeColor="background1"/>
      </w:tblBorders>
    </w:tblPr>
    <w:tcPr>
      <w:shd w:val="clear" w:color="auto" w:fill="E6F2FF" w:themeFill="accent2"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A9F" w:themeFill="accent2" w:themeFillShade="99"/>
      </w:tcPr>
    </w:tblStylePr>
    <w:tblStylePr w:type="firstCol">
      <w:rPr>
        <w:color w:val="FFFFFF" w:themeColor="background1"/>
      </w:rPr>
      <w:tblPr/>
      <w:tcPr>
        <w:tcBorders>
          <w:top w:val="nil"/>
          <w:left w:val="nil"/>
          <w:bottom w:val="nil"/>
          <w:right w:val="nil"/>
          <w:insideH w:val="single" w:sz="4" w:space="0" w:color="004A9F" w:themeColor="accent2" w:themeShade="99"/>
          <w:insideV w:val="nil"/>
        </w:tcBorders>
        <w:shd w:val="clear" w:color="auto" w:fill="004A9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A9F" w:themeFill="accent2" w:themeFillShade="99"/>
      </w:tcPr>
    </w:tblStylePr>
    <w:tblStylePr w:type="band1Vert">
      <w:tblPr/>
      <w:tcPr>
        <w:shd w:val="clear" w:color="auto" w:fill="9DCAFF" w:themeFill="accent2" w:themeFillTint="66"/>
      </w:tcPr>
    </w:tblStylePr>
    <w:tblStylePr w:type="band1Horz">
      <w:tblPr/>
      <w:tcPr>
        <w:shd w:val="clear" w:color="auto" w:fill="84BD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001E55" w:themeColor="accent4"/>
        <w:left w:val="single" w:sz="4" w:space="0" w:color="5AE6FF" w:themeColor="accent3"/>
        <w:bottom w:val="single" w:sz="4" w:space="0" w:color="5AE6FF" w:themeColor="accent3"/>
        <w:right w:val="single" w:sz="4" w:space="0" w:color="5AE6FF" w:themeColor="accent3"/>
        <w:insideH w:val="single" w:sz="4" w:space="0" w:color="FFFFFF" w:themeColor="background1"/>
        <w:insideV w:val="single" w:sz="4" w:space="0" w:color="FFFFFF" w:themeColor="background1"/>
      </w:tblBorders>
    </w:tblPr>
    <w:tcPr>
      <w:shd w:val="clear" w:color="auto" w:fill="EEFCFF" w:themeFill="accent3" w:themeFillTint="19"/>
    </w:tcPr>
    <w:tblStylePr w:type="firstRow">
      <w:rPr>
        <w:b/>
        <w:bCs/>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AFCF" w:themeFill="accent3" w:themeFillShade="99"/>
      </w:tcPr>
    </w:tblStylePr>
    <w:tblStylePr w:type="firstCol">
      <w:rPr>
        <w:color w:val="FFFFFF" w:themeColor="background1"/>
      </w:rPr>
      <w:tblPr/>
      <w:tcPr>
        <w:tcBorders>
          <w:top w:val="nil"/>
          <w:left w:val="nil"/>
          <w:bottom w:val="nil"/>
          <w:right w:val="nil"/>
          <w:insideH w:val="single" w:sz="4" w:space="0" w:color="00AFCF" w:themeColor="accent3" w:themeShade="99"/>
          <w:insideV w:val="nil"/>
        </w:tcBorders>
        <w:shd w:val="clear" w:color="auto" w:fill="00AFC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AFCF" w:themeFill="accent3" w:themeFillShade="99"/>
      </w:tcPr>
    </w:tblStylePr>
    <w:tblStylePr w:type="band1Vert">
      <w:tblPr/>
      <w:tcPr>
        <w:shd w:val="clear" w:color="auto" w:fill="BDF4FF" w:themeFill="accent3" w:themeFillTint="66"/>
      </w:tcPr>
    </w:tblStylePr>
    <w:tblStylePr w:type="band1Horz">
      <w:tblPr/>
      <w:tcPr>
        <w:shd w:val="clear" w:color="auto" w:fill="ACF2FF" w:themeFill="accent3" w:themeFillTint="7F"/>
      </w:tcPr>
    </w:tblStylePr>
  </w:style>
  <w:style w:type="table" w:styleId="ColorfulShading-Accent4">
    <w:name w:val="Colorful Shading Accent 4"/>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5AE6FF" w:themeColor="accent3"/>
        <w:left w:val="single" w:sz="4" w:space="0" w:color="001E55" w:themeColor="accent4"/>
        <w:bottom w:val="single" w:sz="4" w:space="0" w:color="001E55" w:themeColor="accent4"/>
        <w:right w:val="single" w:sz="4" w:space="0" w:color="001E55" w:themeColor="accent4"/>
        <w:insideH w:val="single" w:sz="4" w:space="0" w:color="FFFFFF" w:themeColor="background1"/>
        <w:insideV w:val="single" w:sz="4" w:space="0" w:color="FFFFFF" w:themeColor="background1"/>
      </w:tblBorders>
    </w:tblPr>
    <w:tcPr>
      <w:shd w:val="clear" w:color="auto" w:fill="D5E4FF" w:themeFill="accent4" w:themeFillTint="19"/>
    </w:tcPr>
    <w:tblStylePr w:type="firstRow">
      <w:rPr>
        <w:b/>
        <w:bCs/>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233" w:themeFill="accent4" w:themeFillShade="99"/>
      </w:tcPr>
    </w:tblStylePr>
    <w:tblStylePr w:type="firstCol">
      <w:rPr>
        <w:color w:val="FFFFFF" w:themeColor="background1"/>
      </w:rPr>
      <w:tblPr/>
      <w:tcPr>
        <w:tcBorders>
          <w:top w:val="nil"/>
          <w:left w:val="nil"/>
          <w:bottom w:val="nil"/>
          <w:right w:val="nil"/>
          <w:insideH w:val="single" w:sz="4" w:space="0" w:color="001233" w:themeColor="accent4" w:themeShade="99"/>
          <w:insideV w:val="nil"/>
        </w:tcBorders>
        <w:shd w:val="clear" w:color="auto" w:fill="00123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233" w:themeFill="accent4" w:themeFillShade="99"/>
      </w:tcPr>
    </w:tblStylePr>
    <w:tblStylePr w:type="band1Vert">
      <w:tblPr/>
      <w:tcPr>
        <w:shd w:val="clear" w:color="auto" w:fill="5591FF" w:themeFill="accent4" w:themeFillTint="66"/>
      </w:tcPr>
    </w:tblStylePr>
    <w:tblStylePr w:type="band1Horz">
      <w:tblPr/>
      <w:tcPr>
        <w:shd w:val="clear" w:color="auto" w:fill="2B76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C8C8C8" w:themeColor="accent6"/>
        <w:left w:val="single" w:sz="4" w:space="0" w:color="A5A5A5" w:themeColor="accent5"/>
        <w:bottom w:val="single" w:sz="4" w:space="0" w:color="A5A5A5" w:themeColor="accent5"/>
        <w:right w:val="single" w:sz="4" w:space="0" w:color="A5A5A5" w:themeColor="accent5"/>
        <w:insideH w:val="single" w:sz="4" w:space="0" w:color="FFFFFF" w:themeColor="background1"/>
        <w:insideV w:val="single" w:sz="4" w:space="0" w:color="FFFFFF" w:themeColor="background1"/>
      </w:tblBorders>
    </w:tblPr>
    <w:tcPr>
      <w:shd w:val="clear" w:color="auto" w:fill="F6F6F6"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5" w:themeFillShade="99"/>
      </w:tcPr>
    </w:tblStylePr>
    <w:tblStylePr w:type="firstCol">
      <w:rPr>
        <w:color w:val="FFFFFF" w:themeColor="background1"/>
      </w:rPr>
      <w:tblPr/>
      <w:tcPr>
        <w:tcBorders>
          <w:top w:val="nil"/>
          <w:left w:val="nil"/>
          <w:bottom w:val="nil"/>
          <w:right w:val="nil"/>
          <w:insideH w:val="single" w:sz="4" w:space="0" w:color="636363" w:themeColor="accent5" w:themeShade="99"/>
          <w:insideV w:val="nil"/>
        </w:tcBorders>
        <w:shd w:val="clear" w:color="auto" w:fill="6363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5" w:themeFillShade="99"/>
      </w:tcPr>
    </w:tblStylePr>
    <w:tblStylePr w:type="band1Vert">
      <w:tblPr/>
      <w:tcPr>
        <w:shd w:val="clear" w:color="auto" w:fill="DBDBDB" w:themeFill="accent5" w:themeFillTint="66"/>
      </w:tcPr>
    </w:tblStylePr>
    <w:tblStylePr w:type="band1Horz">
      <w:tblPr/>
      <w:tcPr>
        <w:shd w:val="clear" w:color="auto" w:fill="D2D2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locked/>
    <w:rsid w:val="00095532"/>
    <w:pPr>
      <w:spacing w:line="240" w:lineRule="auto"/>
    </w:pPr>
    <w:rPr>
      <w:color w:val="000000" w:themeColor="text1"/>
    </w:rPr>
    <w:tblPr>
      <w:tblStyleRowBandSize w:val="1"/>
      <w:tblStyleColBandSize w:val="1"/>
      <w:tblBorders>
        <w:top w:val="single" w:sz="24" w:space="0" w:color="A5A5A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231E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F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916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916A4" w:themeFill="accent1" w:themeFillShade="BF"/>
      </w:tcPr>
    </w:tblStylePr>
    <w:tblStylePr w:type="band1Vert">
      <w:tblPr/>
      <w:tcPr>
        <w:tcBorders>
          <w:top w:val="nil"/>
          <w:left w:val="nil"/>
          <w:bottom w:val="nil"/>
          <w:right w:val="nil"/>
          <w:insideH w:val="nil"/>
          <w:insideV w:val="nil"/>
        </w:tcBorders>
        <w:shd w:val="clear" w:color="auto" w:fill="1916A4" w:themeFill="accent1" w:themeFillShade="BF"/>
      </w:tcPr>
    </w:tblStylePr>
    <w:tblStylePr w:type="band1Horz">
      <w:tblPr/>
      <w:tcPr>
        <w:tcBorders>
          <w:top w:val="nil"/>
          <w:left w:val="nil"/>
          <w:bottom w:val="nil"/>
          <w:right w:val="nil"/>
          <w:insideH w:val="nil"/>
          <w:insideV w:val="nil"/>
        </w:tcBorders>
        <w:shd w:val="clear" w:color="auto" w:fill="1916A4" w:themeFill="accent1" w:themeFillShade="BF"/>
      </w:tcPr>
    </w:tblStylePr>
  </w:style>
  <w:style w:type="table" w:styleId="DarkList-Accent2">
    <w:name w:val="Dark List Accent 2"/>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0A7D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8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CC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CC6" w:themeFill="accent2" w:themeFillShade="BF"/>
      </w:tcPr>
    </w:tblStylePr>
    <w:tblStylePr w:type="band1Vert">
      <w:tblPr/>
      <w:tcPr>
        <w:tcBorders>
          <w:top w:val="nil"/>
          <w:left w:val="nil"/>
          <w:bottom w:val="nil"/>
          <w:right w:val="nil"/>
          <w:insideH w:val="nil"/>
          <w:insideV w:val="nil"/>
        </w:tcBorders>
        <w:shd w:val="clear" w:color="auto" w:fill="005CC6" w:themeFill="accent2" w:themeFillShade="BF"/>
      </w:tcPr>
    </w:tblStylePr>
    <w:tblStylePr w:type="band1Horz">
      <w:tblPr/>
      <w:tcPr>
        <w:tcBorders>
          <w:top w:val="nil"/>
          <w:left w:val="nil"/>
          <w:bottom w:val="nil"/>
          <w:right w:val="nil"/>
          <w:insideH w:val="nil"/>
          <w:insideV w:val="nil"/>
        </w:tcBorders>
        <w:shd w:val="clear" w:color="auto" w:fill="005CC6" w:themeFill="accent2" w:themeFillShade="BF"/>
      </w:tcPr>
    </w:tblStylePr>
  </w:style>
  <w:style w:type="table" w:styleId="DarkList-Accent3">
    <w:name w:val="Dark List Accent 3"/>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5AE6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91A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D8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D8FF" w:themeFill="accent3" w:themeFillShade="BF"/>
      </w:tcPr>
    </w:tblStylePr>
    <w:tblStylePr w:type="band1Vert">
      <w:tblPr/>
      <w:tcPr>
        <w:tcBorders>
          <w:top w:val="nil"/>
          <w:left w:val="nil"/>
          <w:bottom w:val="nil"/>
          <w:right w:val="nil"/>
          <w:insideH w:val="nil"/>
          <w:insideV w:val="nil"/>
        </w:tcBorders>
        <w:shd w:val="clear" w:color="auto" w:fill="03D8FF" w:themeFill="accent3" w:themeFillShade="BF"/>
      </w:tcPr>
    </w:tblStylePr>
    <w:tblStylePr w:type="band1Horz">
      <w:tblPr/>
      <w:tcPr>
        <w:tcBorders>
          <w:top w:val="nil"/>
          <w:left w:val="nil"/>
          <w:bottom w:val="nil"/>
          <w:right w:val="nil"/>
          <w:insideH w:val="nil"/>
          <w:insideV w:val="nil"/>
        </w:tcBorders>
        <w:shd w:val="clear" w:color="auto" w:fill="03D8FF" w:themeFill="accent3" w:themeFillShade="BF"/>
      </w:tcPr>
    </w:tblStylePr>
  </w:style>
  <w:style w:type="table" w:styleId="DarkList-Accent4">
    <w:name w:val="Dark List Accent 4"/>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001E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E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6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63F" w:themeFill="accent4" w:themeFillShade="BF"/>
      </w:tcPr>
    </w:tblStylePr>
    <w:tblStylePr w:type="band1Vert">
      <w:tblPr/>
      <w:tcPr>
        <w:tcBorders>
          <w:top w:val="nil"/>
          <w:left w:val="nil"/>
          <w:bottom w:val="nil"/>
          <w:right w:val="nil"/>
          <w:insideH w:val="nil"/>
          <w:insideV w:val="nil"/>
        </w:tcBorders>
        <w:shd w:val="clear" w:color="auto" w:fill="00163F" w:themeFill="accent4" w:themeFillShade="BF"/>
      </w:tcPr>
    </w:tblStylePr>
    <w:tblStylePr w:type="band1Horz">
      <w:tblPr/>
      <w:tcPr>
        <w:tcBorders>
          <w:top w:val="nil"/>
          <w:left w:val="nil"/>
          <w:bottom w:val="nil"/>
          <w:right w:val="nil"/>
          <w:insideH w:val="nil"/>
          <w:insideV w:val="nil"/>
        </w:tcBorders>
        <w:shd w:val="clear" w:color="auto" w:fill="00163F" w:themeFill="accent4" w:themeFillShade="BF"/>
      </w:tcPr>
    </w:tblStylePr>
  </w:style>
  <w:style w:type="table" w:styleId="DarkList-Accent5">
    <w:name w:val="Dark List Accent 5"/>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A5A5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5" w:themeFillShade="BF"/>
      </w:tcPr>
    </w:tblStylePr>
    <w:tblStylePr w:type="band1Vert">
      <w:tblPr/>
      <w:tcPr>
        <w:tcBorders>
          <w:top w:val="nil"/>
          <w:left w:val="nil"/>
          <w:bottom w:val="nil"/>
          <w:right w:val="nil"/>
          <w:insideH w:val="nil"/>
          <w:insideV w:val="nil"/>
        </w:tcBorders>
        <w:shd w:val="clear" w:color="auto" w:fill="7B7B7B" w:themeFill="accent5" w:themeFillShade="BF"/>
      </w:tcPr>
    </w:tblStylePr>
    <w:tblStylePr w:type="band1Horz">
      <w:tblPr/>
      <w:tcPr>
        <w:tcBorders>
          <w:top w:val="nil"/>
          <w:left w:val="nil"/>
          <w:bottom w:val="nil"/>
          <w:right w:val="nil"/>
          <w:insideH w:val="nil"/>
          <w:insideV w:val="nil"/>
        </w:tcBorders>
        <w:shd w:val="clear" w:color="auto" w:fill="7B7B7B" w:themeFill="accent5" w:themeFillShade="BF"/>
      </w:tcPr>
    </w:tblStylePr>
  </w:style>
  <w:style w:type="table" w:styleId="DarkList-Accent6">
    <w:name w:val="Dark List Accent 6"/>
    <w:basedOn w:val="TableNormal"/>
    <w:uiPriority w:val="70"/>
    <w:semiHidden/>
    <w:unhideWhenUsed/>
    <w:locked/>
    <w:rsid w:val="00095532"/>
    <w:pPr>
      <w:spacing w:line="240" w:lineRule="auto"/>
    </w:pPr>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locked/>
    <w:rsid w:val="00095532"/>
  </w:style>
  <w:style w:type="character" w:customStyle="1" w:styleId="DateChar">
    <w:name w:val="Date Char"/>
    <w:basedOn w:val="DefaultParagraphFont"/>
    <w:link w:val="Date"/>
    <w:uiPriority w:val="99"/>
    <w:semiHidden/>
    <w:rsid w:val="00095532"/>
  </w:style>
  <w:style w:type="paragraph" w:styleId="DocumentMap">
    <w:name w:val="Document Map"/>
    <w:basedOn w:val="Normal"/>
    <w:link w:val="DocumentMapChar"/>
    <w:uiPriority w:val="99"/>
    <w:semiHidden/>
    <w:unhideWhenUsed/>
    <w:locked/>
    <w:rsid w:val="00095532"/>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95532"/>
    <w:rPr>
      <w:rFonts w:ascii="Segoe UI" w:hAnsi="Segoe UI" w:cs="Segoe UI"/>
      <w:sz w:val="16"/>
      <w:szCs w:val="16"/>
    </w:rPr>
  </w:style>
  <w:style w:type="paragraph" w:styleId="E-mailSignature">
    <w:name w:val="E-mail Signature"/>
    <w:basedOn w:val="Normal"/>
    <w:link w:val="E-mailSignatureChar"/>
    <w:uiPriority w:val="99"/>
    <w:semiHidden/>
    <w:locked/>
    <w:rsid w:val="00095532"/>
    <w:pPr>
      <w:tabs>
        <w:tab w:val="left" w:pos="425"/>
      </w:tabs>
      <w:spacing w:after="120"/>
    </w:pPr>
    <w:rPr>
      <w:noProof/>
    </w:rPr>
  </w:style>
  <w:style w:type="character" w:customStyle="1" w:styleId="E-mailSignatureChar">
    <w:name w:val="E-mail Signature Char"/>
    <w:basedOn w:val="DefaultParagraphFont"/>
    <w:link w:val="E-mailSignature"/>
    <w:uiPriority w:val="99"/>
    <w:semiHidden/>
    <w:rsid w:val="00095532"/>
    <w:rPr>
      <w:noProof/>
    </w:rPr>
  </w:style>
  <w:style w:type="character" w:styleId="Emphasis">
    <w:name w:val="Emphasis"/>
    <w:basedOn w:val="DefaultParagraphFont"/>
    <w:uiPriority w:val="20"/>
    <w:qFormat/>
    <w:locked/>
    <w:rsid w:val="00095532"/>
    <w:rPr>
      <w:i/>
      <w:iCs/>
    </w:rPr>
  </w:style>
  <w:style w:type="character" w:styleId="EndnoteReference">
    <w:name w:val="endnote reference"/>
    <w:basedOn w:val="DefaultParagraphFont"/>
    <w:uiPriority w:val="99"/>
    <w:semiHidden/>
    <w:unhideWhenUsed/>
    <w:locked/>
    <w:rsid w:val="00095532"/>
    <w:rPr>
      <w:vertAlign w:val="superscript"/>
    </w:rPr>
  </w:style>
  <w:style w:type="paragraph" w:styleId="EndnoteText">
    <w:name w:val="endnote text"/>
    <w:basedOn w:val="Normal"/>
    <w:link w:val="EndnoteTextChar"/>
    <w:uiPriority w:val="99"/>
    <w:semiHidden/>
    <w:unhideWhenUsed/>
    <w:locked/>
    <w:rsid w:val="00095532"/>
  </w:style>
  <w:style w:type="character" w:customStyle="1" w:styleId="EndnoteTextChar">
    <w:name w:val="Endnote Text Char"/>
    <w:basedOn w:val="DefaultParagraphFont"/>
    <w:link w:val="EndnoteText"/>
    <w:uiPriority w:val="99"/>
    <w:semiHidden/>
    <w:rsid w:val="00095532"/>
  </w:style>
  <w:style w:type="paragraph" w:styleId="EnvelopeAddress">
    <w:name w:val="envelope address"/>
    <w:basedOn w:val="Normal"/>
    <w:uiPriority w:val="99"/>
    <w:semiHidden/>
    <w:unhideWhenUsed/>
    <w:locked/>
    <w:rsid w:val="00095532"/>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locked/>
    <w:rsid w:val="00095532"/>
    <w:rPr>
      <w:rFonts w:eastAsiaTheme="majorEastAsia" w:cstheme="majorBidi"/>
    </w:rPr>
  </w:style>
  <w:style w:type="character" w:styleId="FollowedHyperlink">
    <w:name w:val="FollowedHyperlink"/>
    <w:basedOn w:val="DefaultParagraphFont"/>
    <w:uiPriority w:val="99"/>
    <w:semiHidden/>
    <w:unhideWhenUsed/>
    <w:locked/>
    <w:rsid w:val="00095532"/>
    <w:rPr>
      <w:color w:val="E5E5E5" w:themeColor="followedHyperlink"/>
      <w:u w:val="single"/>
    </w:rPr>
  </w:style>
  <w:style w:type="table" w:styleId="GridTable1Light">
    <w:name w:val="Grid Table 1 Light"/>
    <w:basedOn w:val="TableNormal"/>
    <w:uiPriority w:val="46"/>
    <w:locked/>
    <w:rsid w:val="00095532"/>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095532"/>
    <w:pPr>
      <w:spacing w:line="240" w:lineRule="auto"/>
    </w:pPr>
    <w:tblPr>
      <w:tblStyleRowBandSize w:val="1"/>
      <w:tblStyleColBandSize w:val="1"/>
      <w:tblBorders>
        <w:top w:val="single" w:sz="4" w:space="0" w:color="A5A3F2" w:themeColor="accent1" w:themeTint="66"/>
        <w:left w:val="single" w:sz="4" w:space="0" w:color="A5A3F2" w:themeColor="accent1" w:themeTint="66"/>
        <w:bottom w:val="single" w:sz="4" w:space="0" w:color="A5A3F2" w:themeColor="accent1" w:themeTint="66"/>
        <w:right w:val="single" w:sz="4" w:space="0" w:color="A5A3F2" w:themeColor="accent1" w:themeTint="66"/>
        <w:insideH w:val="single" w:sz="4" w:space="0" w:color="A5A3F2" w:themeColor="accent1" w:themeTint="66"/>
        <w:insideV w:val="single" w:sz="4" w:space="0" w:color="A5A3F2" w:themeColor="accent1" w:themeTint="66"/>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2" w:space="0" w:color="7875E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095532"/>
    <w:pPr>
      <w:spacing w:line="240" w:lineRule="auto"/>
    </w:pPr>
    <w:tblPr>
      <w:tblStyleRowBandSize w:val="1"/>
      <w:tblStyleColBandSize w:val="1"/>
      <w:tblBorders>
        <w:top w:val="single" w:sz="4" w:space="0" w:color="9DCAFF" w:themeColor="accent2" w:themeTint="66"/>
        <w:left w:val="single" w:sz="4" w:space="0" w:color="9DCAFF" w:themeColor="accent2" w:themeTint="66"/>
        <w:bottom w:val="single" w:sz="4" w:space="0" w:color="9DCAFF" w:themeColor="accent2" w:themeTint="66"/>
        <w:right w:val="single" w:sz="4" w:space="0" w:color="9DCAFF" w:themeColor="accent2" w:themeTint="66"/>
        <w:insideH w:val="single" w:sz="4" w:space="0" w:color="9DCAFF" w:themeColor="accent2" w:themeTint="66"/>
        <w:insideV w:val="single" w:sz="4" w:space="0" w:color="9DCAFF" w:themeColor="accent2" w:themeTint="66"/>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2" w:space="0" w:color="6CB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095532"/>
    <w:pPr>
      <w:spacing w:line="240" w:lineRule="auto"/>
    </w:pPr>
    <w:tblPr>
      <w:tblStyleRowBandSize w:val="1"/>
      <w:tblStyleColBandSize w:val="1"/>
      <w:tblBorders>
        <w:top w:val="single" w:sz="4" w:space="0" w:color="BDF4FF" w:themeColor="accent3" w:themeTint="66"/>
        <w:left w:val="single" w:sz="4" w:space="0" w:color="BDF4FF" w:themeColor="accent3" w:themeTint="66"/>
        <w:bottom w:val="single" w:sz="4" w:space="0" w:color="BDF4FF" w:themeColor="accent3" w:themeTint="66"/>
        <w:right w:val="single" w:sz="4" w:space="0" w:color="BDF4FF" w:themeColor="accent3" w:themeTint="66"/>
        <w:insideH w:val="single" w:sz="4" w:space="0" w:color="BDF4FF" w:themeColor="accent3" w:themeTint="66"/>
        <w:insideV w:val="single" w:sz="4" w:space="0" w:color="BDF4FF" w:themeColor="accent3" w:themeTint="66"/>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2" w:space="0" w:color="9CEF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095532"/>
    <w:pPr>
      <w:spacing w:line="240" w:lineRule="auto"/>
    </w:pPr>
    <w:tblPr>
      <w:tblStyleRowBandSize w:val="1"/>
      <w:tblStyleColBandSize w:val="1"/>
      <w:tblBorders>
        <w:top w:val="single" w:sz="4" w:space="0" w:color="5591FF" w:themeColor="accent4" w:themeTint="66"/>
        <w:left w:val="single" w:sz="4" w:space="0" w:color="5591FF" w:themeColor="accent4" w:themeTint="66"/>
        <w:bottom w:val="single" w:sz="4" w:space="0" w:color="5591FF" w:themeColor="accent4" w:themeTint="66"/>
        <w:right w:val="single" w:sz="4" w:space="0" w:color="5591FF" w:themeColor="accent4" w:themeTint="66"/>
        <w:insideH w:val="single" w:sz="4" w:space="0" w:color="5591FF" w:themeColor="accent4" w:themeTint="66"/>
        <w:insideV w:val="single" w:sz="4" w:space="0" w:color="5591FF" w:themeColor="accent4" w:themeTint="66"/>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2" w:space="0" w:color="005A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095532"/>
    <w:pPr>
      <w:spacing w:line="240" w:lineRule="auto"/>
    </w:pPr>
    <w:tblPr>
      <w:tblStyleRowBandSize w:val="1"/>
      <w:tblStyleColBandSize w:val="1"/>
      <w:tblBorders>
        <w:top w:val="single" w:sz="4" w:space="0" w:color="DBDBDB" w:themeColor="accent5" w:themeTint="66"/>
        <w:left w:val="single" w:sz="4" w:space="0" w:color="DBDBDB" w:themeColor="accent5" w:themeTint="66"/>
        <w:bottom w:val="single" w:sz="4" w:space="0" w:color="DBDBDB" w:themeColor="accent5" w:themeTint="66"/>
        <w:right w:val="single" w:sz="4" w:space="0" w:color="DBDBDB" w:themeColor="accent5" w:themeTint="66"/>
        <w:insideH w:val="single" w:sz="4" w:space="0" w:color="DBDBDB" w:themeColor="accent5" w:themeTint="66"/>
        <w:insideV w:val="single" w:sz="4" w:space="0" w:color="DBDBDB" w:themeColor="accent5" w:themeTint="66"/>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2" w:space="0" w:color="C9C9C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095532"/>
    <w:pPr>
      <w:spacing w:line="240" w:lineRule="auto"/>
    </w:pPr>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095532"/>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095532"/>
    <w:pPr>
      <w:spacing w:line="240" w:lineRule="auto"/>
    </w:pPr>
    <w:tblPr>
      <w:tblStyleRowBandSize w:val="1"/>
      <w:tblStyleColBandSize w:val="1"/>
      <w:tblBorders>
        <w:top w:val="single" w:sz="2" w:space="0" w:color="7875EC" w:themeColor="accent1" w:themeTint="99"/>
        <w:bottom w:val="single" w:sz="2" w:space="0" w:color="7875EC" w:themeColor="accent1" w:themeTint="99"/>
        <w:insideH w:val="single" w:sz="2" w:space="0" w:color="7875EC" w:themeColor="accent1" w:themeTint="99"/>
        <w:insideV w:val="single" w:sz="2" w:space="0" w:color="7875EC" w:themeColor="accent1" w:themeTint="99"/>
      </w:tblBorders>
    </w:tblPr>
    <w:tblStylePr w:type="firstRow">
      <w:rPr>
        <w:b/>
        <w:bCs/>
      </w:rPr>
      <w:tblPr/>
      <w:tcPr>
        <w:tcBorders>
          <w:top w:val="nil"/>
          <w:bottom w:val="single" w:sz="12" w:space="0" w:color="7875EC" w:themeColor="accent1" w:themeTint="99"/>
          <w:insideH w:val="nil"/>
          <w:insideV w:val="nil"/>
        </w:tcBorders>
        <w:shd w:val="clear" w:color="auto" w:fill="FFFFFF" w:themeFill="background1"/>
      </w:tcPr>
    </w:tblStylePr>
    <w:tblStylePr w:type="lastRow">
      <w:rPr>
        <w:b/>
        <w:bCs/>
      </w:rPr>
      <w:tblPr/>
      <w:tcPr>
        <w:tcBorders>
          <w:top w:val="double" w:sz="2" w:space="0" w:color="7875E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2-Accent2">
    <w:name w:val="Grid Table 2 Accent 2"/>
    <w:basedOn w:val="TableNormal"/>
    <w:uiPriority w:val="47"/>
    <w:locked/>
    <w:rsid w:val="00095532"/>
    <w:pPr>
      <w:spacing w:line="240" w:lineRule="auto"/>
    </w:pPr>
    <w:tblPr>
      <w:tblStyleRowBandSize w:val="1"/>
      <w:tblStyleColBandSize w:val="1"/>
      <w:tblBorders>
        <w:top w:val="single" w:sz="2" w:space="0" w:color="6CB0FF" w:themeColor="accent2" w:themeTint="99"/>
        <w:bottom w:val="single" w:sz="2" w:space="0" w:color="6CB0FF" w:themeColor="accent2" w:themeTint="99"/>
        <w:insideH w:val="single" w:sz="2" w:space="0" w:color="6CB0FF" w:themeColor="accent2" w:themeTint="99"/>
        <w:insideV w:val="single" w:sz="2" w:space="0" w:color="6CB0FF" w:themeColor="accent2" w:themeTint="99"/>
      </w:tblBorders>
    </w:tblPr>
    <w:tblStylePr w:type="firstRow">
      <w:rPr>
        <w:b/>
        <w:bCs/>
      </w:rPr>
      <w:tblPr/>
      <w:tcPr>
        <w:tcBorders>
          <w:top w:val="nil"/>
          <w:bottom w:val="single" w:sz="12" w:space="0" w:color="6CB0FF" w:themeColor="accent2" w:themeTint="99"/>
          <w:insideH w:val="nil"/>
          <w:insideV w:val="nil"/>
        </w:tcBorders>
        <w:shd w:val="clear" w:color="auto" w:fill="FFFFFF" w:themeFill="background1"/>
      </w:tcPr>
    </w:tblStylePr>
    <w:tblStylePr w:type="lastRow">
      <w:rPr>
        <w:b/>
        <w:bCs/>
      </w:rPr>
      <w:tblPr/>
      <w:tcPr>
        <w:tcBorders>
          <w:top w:val="double" w:sz="2" w:space="0" w:color="6C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2-Accent3">
    <w:name w:val="Grid Table 2 Accent 3"/>
    <w:basedOn w:val="TableNormal"/>
    <w:uiPriority w:val="47"/>
    <w:locked/>
    <w:rsid w:val="00095532"/>
    <w:pPr>
      <w:spacing w:line="240" w:lineRule="auto"/>
    </w:pPr>
    <w:tblPr>
      <w:tblStyleRowBandSize w:val="1"/>
      <w:tblStyleColBandSize w:val="1"/>
      <w:tblBorders>
        <w:top w:val="single" w:sz="2" w:space="0" w:color="9CEFFF" w:themeColor="accent3" w:themeTint="99"/>
        <w:bottom w:val="single" w:sz="2" w:space="0" w:color="9CEFFF" w:themeColor="accent3" w:themeTint="99"/>
        <w:insideH w:val="single" w:sz="2" w:space="0" w:color="9CEFFF" w:themeColor="accent3" w:themeTint="99"/>
        <w:insideV w:val="single" w:sz="2" w:space="0" w:color="9CEFFF" w:themeColor="accent3" w:themeTint="99"/>
      </w:tblBorders>
    </w:tblPr>
    <w:tblStylePr w:type="firstRow">
      <w:rPr>
        <w:b/>
        <w:bCs/>
      </w:rPr>
      <w:tblPr/>
      <w:tcPr>
        <w:tcBorders>
          <w:top w:val="nil"/>
          <w:bottom w:val="single" w:sz="12" w:space="0" w:color="9CEFFF" w:themeColor="accent3" w:themeTint="99"/>
          <w:insideH w:val="nil"/>
          <w:insideV w:val="nil"/>
        </w:tcBorders>
        <w:shd w:val="clear" w:color="auto" w:fill="FFFFFF" w:themeFill="background1"/>
      </w:tcPr>
    </w:tblStylePr>
    <w:tblStylePr w:type="lastRow">
      <w:rPr>
        <w:b/>
        <w:bCs/>
      </w:rPr>
      <w:tblPr/>
      <w:tcPr>
        <w:tcBorders>
          <w:top w:val="double" w:sz="2" w:space="0" w:color="9CE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2-Accent4">
    <w:name w:val="Grid Table 2 Accent 4"/>
    <w:basedOn w:val="TableNormal"/>
    <w:uiPriority w:val="47"/>
    <w:locked/>
    <w:rsid w:val="00095532"/>
    <w:pPr>
      <w:spacing w:line="240" w:lineRule="auto"/>
    </w:pPr>
    <w:tblPr>
      <w:tblStyleRowBandSize w:val="1"/>
      <w:tblStyleColBandSize w:val="1"/>
      <w:tblBorders>
        <w:top w:val="single" w:sz="2" w:space="0" w:color="005AFF" w:themeColor="accent4" w:themeTint="99"/>
        <w:bottom w:val="single" w:sz="2" w:space="0" w:color="005AFF" w:themeColor="accent4" w:themeTint="99"/>
        <w:insideH w:val="single" w:sz="2" w:space="0" w:color="005AFF" w:themeColor="accent4" w:themeTint="99"/>
        <w:insideV w:val="single" w:sz="2" w:space="0" w:color="005AFF" w:themeColor="accent4" w:themeTint="99"/>
      </w:tblBorders>
    </w:tblPr>
    <w:tblStylePr w:type="firstRow">
      <w:rPr>
        <w:b/>
        <w:bCs/>
      </w:rPr>
      <w:tblPr/>
      <w:tcPr>
        <w:tcBorders>
          <w:top w:val="nil"/>
          <w:bottom w:val="single" w:sz="12" w:space="0" w:color="005AFF" w:themeColor="accent4" w:themeTint="99"/>
          <w:insideH w:val="nil"/>
          <w:insideV w:val="nil"/>
        </w:tcBorders>
        <w:shd w:val="clear" w:color="auto" w:fill="FFFFFF" w:themeFill="background1"/>
      </w:tcPr>
    </w:tblStylePr>
    <w:tblStylePr w:type="lastRow">
      <w:rPr>
        <w:b/>
        <w:bCs/>
      </w:rPr>
      <w:tblPr/>
      <w:tcPr>
        <w:tcBorders>
          <w:top w:val="double" w:sz="2" w:space="0" w:color="005A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2-Accent5">
    <w:name w:val="Grid Table 2 Accent 5"/>
    <w:basedOn w:val="TableNormal"/>
    <w:uiPriority w:val="47"/>
    <w:locked/>
    <w:rsid w:val="00095532"/>
    <w:pPr>
      <w:spacing w:line="240" w:lineRule="auto"/>
    </w:pPr>
    <w:tblPr>
      <w:tblStyleRowBandSize w:val="1"/>
      <w:tblStyleColBandSize w:val="1"/>
      <w:tblBorders>
        <w:top w:val="single" w:sz="2" w:space="0" w:color="C9C9C9" w:themeColor="accent5" w:themeTint="99"/>
        <w:bottom w:val="single" w:sz="2" w:space="0" w:color="C9C9C9" w:themeColor="accent5" w:themeTint="99"/>
        <w:insideH w:val="single" w:sz="2" w:space="0" w:color="C9C9C9" w:themeColor="accent5" w:themeTint="99"/>
        <w:insideV w:val="single" w:sz="2" w:space="0" w:color="C9C9C9" w:themeColor="accent5" w:themeTint="99"/>
      </w:tblBorders>
    </w:tblPr>
    <w:tblStylePr w:type="firstRow">
      <w:rPr>
        <w:b/>
        <w:bCs/>
      </w:rPr>
      <w:tblPr/>
      <w:tcPr>
        <w:tcBorders>
          <w:top w:val="nil"/>
          <w:bottom w:val="single" w:sz="12" w:space="0" w:color="C9C9C9" w:themeColor="accent5" w:themeTint="99"/>
          <w:insideH w:val="nil"/>
          <w:insideV w:val="nil"/>
        </w:tcBorders>
        <w:shd w:val="clear" w:color="auto" w:fill="FFFFFF" w:themeFill="background1"/>
      </w:tcPr>
    </w:tblStylePr>
    <w:tblStylePr w:type="lastRow">
      <w:rPr>
        <w:b/>
        <w:bCs/>
      </w:rPr>
      <w:tblPr/>
      <w:tcPr>
        <w:tcBorders>
          <w:top w:val="double" w:sz="2" w:space="0" w:color="C9C9C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2-Accent6">
    <w:name w:val="Grid Table 2 Accent 6"/>
    <w:basedOn w:val="TableNormal"/>
    <w:uiPriority w:val="47"/>
    <w:locked/>
    <w:rsid w:val="00095532"/>
    <w:pPr>
      <w:spacing w:line="240" w:lineRule="auto"/>
    </w:pPr>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locked/>
    <w:rsid w:val="0009553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095532"/>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3-Accent2">
    <w:name w:val="Grid Table 3 Accent 2"/>
    <w:basedOn w:val="TableNormal"/>
    <w:uiPriority w:val="48"/>
    <w:locked/>
    <w:rsid w:val="00095532"/>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3-Accent3">
    <w:name w:val="Grid Table 3 Accent 3"/>
    <w:basedOn w:val="TableNormal"/>
    <w:uiPriority w:val="48"/>
    <w:locked/>
    <w:rsid w:val="00095532"/>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3-Accent4">
    <w:name w:val="Grid Table 3 Accent 4"/>
    <w:basedOn w:val="TableNormal"/>
    <w:uiPriority w:val="48"/>
    <w:locked/>
    <w:rsid w:val="00095532"/>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3-Accent5">
    <w:name w:val="Grid Table 3 Accent 5"/>
    <w:basedOn w:val="TableNormal"/>
    <w:uiPriority w:val="48"/>
    <w:locked/>
    <w:rsid w:val="00095532"/>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3-Accent6">
    <w:name w:val="Grid Table 3 Accent 6"/>
    <w:basedOn w:val="TableNormal"/>
    <w:uiPriority w:val="48"/>
    <w:locked/>
    <w:rsid w:val="00095532"/>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locked/>
    <w:rsid w:val="0009553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095532"/>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insideV w:val="nil"/>
        </w:tcBorders>
        <w:shd w:val="clear" w:color="auto" w:fill="231EDC" w:themeFill="accent1"/>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4-Accent2">
    <w:name w:val="Grid Table 4 Accent 2"/>
    <w:basedOn w:val="TableNormal"/>
    <w:uiPriority w:val="49"/>
    <w:locked/>
    <w:rsid w:val="00095532"/>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insideV w:val="nil"/>
        </w:tcBorders>
        <w:shd w:val="clear" w:color="auto" w:fill="0A7DFF" w:themeFill="accent2"/>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4-Accent3">
    <w:name w:val="Grid Table 4 Accent 3"/>
    <w:basedOn w:val="TableNormal"/>
    <w:uiPriority w:val="49"/>
    <w:locked/>
    <w:rsid w:val="00095532"/>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insideV w:val="nil"/>
        </w:tcBorders>
        <w:shd w:val="clear" w:color="auto" w:fill="5AE6FF" w:themeFill="accent3"/>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4-Accent4">
    <w:name w:val="Grid Table 4 Accent 4"/>
    <w:basedOn w:val="TableNormal"/>
    <w:uiPriority w:val="49"/>
    <w:locked/>
    <w:rsid w:val="00095532"/>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insideV w:val="nil"/>
        </w:tcBorders>
        <w:shd w:val="clear" w:color="auto" w:fill="001E55" w:themeFill="accent4"/>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4-Accent5">
    <w:name w:val="Grid Table 4 Accent 5"/>
    <w:basedOn w:val="TableNormal"/>
    <w:uiPriority w:val="49"/>
    <w:locked/>
    <w:rsid w:val="00095532"/>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insideV w:val="nil"/>
        </w:tcBorders>
        <w:shd w:val="clear" w:color="auto" w:fill="A5A5A5" w:themeFill="accent5"/>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5Dark">
    <w:name w:val="Grid Table 5 Dark"/>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1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E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E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E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EDC" w:themeFill="accent1"/>
      </w:tcPr>
    </w:tblStylePr>
    <w:tblStylePr w:type="band1Vert">
      <w:tblPr/>
      <w:tcPr>
        <w:shd w:val="clear" w:color="auto" w:fill="A5A3F2" w:themeFill="accent1" w:themeFillTint="66"/>
      </w:tcPr>
    </w:tblStylePr>
    <w:tblStylePr w:type="band1Horz">
      <w:tblPr/>
      <w:tcPr>
        <w:shd w:val="clear" w:color="auto" w:fill="A5A3F2" w:themeFill="accent1" w:themeFillTint="66"/>
      </w:tcPr>
    </w:tblStylePr>
  </w:style>
  <w:style w:type="table" w:styleId="GridTable5Dark-Accent2">
    <w:name w:val="Grid Table 5 Dark Accent 2"/>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7D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7D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7D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7DFF" w:themeFill="accent2"/>
      </w:tcPr>
    </w:tblStylePr>
    <w:tblStylePr w:type="band1Vert">
      <w:tblPr/>
      <w:tcPr>
        <w:shd w:val="clear" w:color="auto" w:fill="9DCAFF" w:themeFill="accent2" w:themeFillTint="66"/>
      </w:tcPr>
    </w:tblStylePr>
    <w:tblStylePr w:type="band1Horz">
      <w:tblPr/>
      <w:tcPr>
        <w:shd w:val="clear" w:color="auto" w:fill="9DCAFF" w:themeFill="accent2" w:themeFillTint="66"/>
      </w:tcPr>
    </w:tblStylePr>
  </w:style>
  <w:style w:type="table" w:styleId="GridTable5Dark-Accent3">
    <w:name w:val="Grid Table 5 Dark Accent 3"/>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E6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E6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E6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E6FF" w:themeFill="accent3"/>
      </w:tcPr>
    </w:tblStylePr>
    <w:tblStylePr w:type="band1Vert">
      <w:tblPr/>
      <w:tcPr>
        <w:shd w:val="clear" w:color="auto" w:fill="BDF4FF" w:themeFill="accent3" w:themeFillTint="66"/>
      </w:tcPr>
    </w:tblStylePr>
    <w:tblStylePr w:type="band1Horz">
      <w:tblPr/>
      <w:tcPr>
        <w:shd w:val="clear" w:color="auto" w:fill="BDF4FF" w:themeFill="accent3" w:themeFillTint="66"/>
      </w:tcPr>
    </w:tblStylePr>
  </w:style>
  <w:style w:type="table" w:styleId="GridTable5Dark-Accent4">
    <w:name w:val="Grid Table 5 Dark Accent 4"/>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C8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E5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E5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E5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E55" w:themeFill="accent4"/>
      </w:tcPr>
    </w:tblStylePr>
    <w:tblStylePr w:type="band1Vert">
      <w:tblPr/>
      <w:tcPr>
        <w:shd w:val="clear" w:color="auto" w:fill="5591FF" w:themeFill="accent4" w:themeFillTint="66"/>
      </w:tcPr>
    </w:tblStylePr>
    <w:tblStylePr w:type="band1Horz">
      <w:tblPr/>
      <w:tcPr>
        <w:shd w:val="clear" w:color="auto" w:fill="5591FF" w:themeFill="accent4" w:themeFillTint="66"/>
      </w:tcPr>
    </w:tblStylePr>
  </w:style>
  <w:style w:type="table" w:styleId="GridTable5Dark-Accent5">
    <w:name w:val="Grid Table 5 Dark Accent 5"/>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5"/>
      </w:tcPr>
    </w:tblStylePr>
    <w:tblStylePr w:type="band1Vert">
      <w:tblPr/>
      <w:tcPr>
        <w:shd w:val="clear" w:color="auto" w:fill="DBDBDB" w:themeFill="accent5" w:themeFillTint="66"/>
      </w:tcPr>
    </w:tblStylePr>
    <w:tblStylePr w:type="band1Horz">
      <w:tblPr/>
      <w:tcPr>
        <w:shd w:val="clear" w:color="auto" w:fill="DBDBDB" w:themeFill="accent5" w:themeFillTint="66"/>
      </w:tcPr>
    </w:tblStylePr>
  </w:style>
  <w:style w:type="table" w:styleId="GridTable5Dark-Accent6">
    <w:name w:val="Grid Table 5 Dark Accent 6"/>
    <w:basedOn w:val="TableNormal"/>
    <w:uiPriority w:val="50"/>
    <w:locked/>
    <w:rsid w:val="0009553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locked/>
    <w:rsid w:val="0009553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095532"/>
    <w:pPr>
      <w:spacing w:line="240" w:lineRule="auto"/>
    </w:pPr>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6Colorful-Accent2">
    <w:name w:val="Grid Table 6 Colorful Accent 2"/>
    <w:basedOn w:val="TableNormal"/>
    <w:uiPriority w:val="51"/>
    <w:locked/>
    <w:rsid w:val="00095532"/>
    <w:pPr>
      <w:spacing w:line="240" w:lineRule="auto"/>
    </w:pPr>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6Colorful-Accent3">
    <w:name w:val="Grid Table 6 Colorful Accent 3"/>
    <w:basedOn w:val="TableNormal"/>
    <w:uiPriority w:val="51"/>
    <w:locked/>
    <w:rsid w:val="00095532"/>
    <w:pPr>
      <w:spacing w:line="240" w:lineRule="auto"/>
    </w:pPr>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6Colorful-Accent4">
    <w:name w:val="Grid Table 6 Colorful Accent 4"/>
    <w:basedOn w:val="TableNormal"/>
    <w:uiPriority w:val="51"/>
    <w:locked/>
    <w:rsid w:val="00095532"/>
    <w:pPr>
      <w:spacing w:line="240" w:lineRule="auto"/>
    </w:pPr>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6Colorful-Accent5">
    <w:name w:val="Grid Table 6 Colorful Accent 5"/>
    <w:basedOn w:val="TableNormal"/>
    <w:uiPriority w:val="51"/>
    <w:locked/>
    <w:rsid w:val="00095532"/>
    <w:pPr>
      <w:spacing w:line="240" w:lineRule="auto"/>
    </w:pPr>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6Colorful-Accent6">
    <w:name w:val="Grid Table 6 Colorful Accent 6"/>
    <w:basedOn w:val="TableNormal"/>
    <w:uiPriority w:val="51"/>
    <w:locked/>
    <w:rsid w:val="00095532"/>
    <w:pPr>
      <w:spacing w:line="240" w:lineRule="auto"/>
    </w:pPr>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locked/>
    <w:rsid w:val="0009553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095532"/>
    <w:pPr>
      <w:spacing w:line="240" w:lineRule="auto"/>
    </w:pPr>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7Colorful-Accent2">
    <w:name w:val="Grid Table 7 Colorful Accent 2"/>
    <w:basedOn w:val="TableNormal"/>
    <w:uiPriority w:val="52"/>
    <w:locked/>
    <w:rsid w:val="00095532"/>
    <w:pPr>
      <w:spacing w:line="240" w:lineRule="auto"/>
    </w:pPr>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7Colorful-Accent3">
    <w:name w:val="Grid Table 7 Colorful Accent 3"/>
    <w:basedOn w:val="TableNormal"/>
    <w:uiPriority w:val="52"/>
    <w:locked/>
    <w:rsid w:val="00095532"/>
    <w:pPr>
      <w:spacing w:line="240" w:lineRule="auto"/>
    </w:pPr>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7Colorful-Accent4">
    <w:name w:val="Grid Table 7 Colorful Accent 4"/>
    <w:basedOn w:val="TableNormal"/>
    <w:uiPriority w:val="52"/>
    <w:locked/>
    <w:rsid w:val="00095532"/>
    <w:pPr>
      <w:spacing w:line="240" w:lineRule="auto"/>
    </w:pPr>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7Colorful-Accent5">
    <w:name w:val="Grid Table 7 Colorful Accent 5"/>
    <w:basedOn w:val="TableNormal"/>
    <w:uiPriority w:val="52"/>
    <w:locked/>
    <w:rsid w:val="00095532"/>
    <w:pPr>
      <w:spacing w:line="240" w:lineRule="auto"/>
    </w:pPr>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7Colorful-Accent6">
    <w:name w:val="Grid Table 7 Colorful Accent 6"/>
    <w:basedOn w:val="TableNormal"/>
    <w:uiPriority w:val="52"/>
    <w:locked/>
    <w:rsid w:val="00095532"/>
    <w:pPr>
      <w:spacing w:line="240" w:lineRule="auto"/>
    </w:pPr>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styleId="Hashtag">
    <w:name w:val="Hashtag"/>
    <w:basedOn w:val="DefaultParagraphFont"/>
    <w:uiPriority w:val="99"/>
    <w:semiHidden/>
    <w:unhideWhenUsed/>
    <w:locked/>
    <w:rsid w:val="00095532"/>
    <w:rPr>
      <w:color w:val="2B579A"/>
      <w:shd w:val="clear" w:color="auto" w:fill="E6E6E6"/>
    </w:rPr>
  </w:style>
  <w:style w:type="character" w:styleId="HTMLAcronym">
    <w:name w:val="HTML Acronym"/>
    <w:basedOn w:val="DefaultParagraphFont"/>
    <w:uiPriority w:val="99"/>
    <w:semiHidden/>
    <w:unhideWhenUsed/>
    <w:locked/>
    <w:rsid w:val="00095532"/>
  </w:style>
  <w:style w:type="paragraph" w:styleId="HTMLAddress">
    <w:name w:val="HTML Address"/>
    <w:basedOn w:val="Normal"/>
    <w:link w:val="HTMLAddressChar"/>
    <w:uiPriority w:val="99"/>
    <w:semiHidden/>
    <w:unhideWhenUsed/>
    <w:locked/>
    <w:rsid w:val="00095532"/>
    <w:rPr>
      <w:i/>
      <w:iCs/>
    </w:rPr>
  </w:style>
  <w:style w:type="character" w:customStyle="1" w:styleId="HTMLAddressChar">
    <w:name w:val="HTML Address Char"/>
    <w:basedOn w:val="DefaultParagraphFont"/>
    <w:link w:val="HTMLAddress"/>
    <w:uiPriority w:val="99"/>
    <w:semiHidden/>
    <w:rsid w:val="00095532"/>
    <w:rPr>
      <w:i/>
      <w:iCs/>
    </w:rPr>
  </w:style>
  <w:style w:type="character" w:styleId="HTMLCite">
    <w:name w:val="HTML Cite"/>
    <w:basedOn w:val="DefaultParagraphFont"/>
    <w:uiPriority w:val="99"/>
    <w:semiHidden/>
    <w:unhideWhenUsed/>
    <w:locked/>
    <w:rsid w:val="00095532"/>
    <w:rPr>
      <w:i/>
      <w:iCs/>
    </w:rPr>
  </w:style>
  <w:style w:type="character" w:styleId="HTMLCode">
    <w:name w:val="HTML Code"/>
    <w:basedOn w:val="DefaultParagraphFont"/>
    <w:uiPriority w:val="99"/>
    <w:semiHidden/>
    <w:unhideWhenUsed/>
    <w:locked/>
    <w:rsid w:val="00095532"/>
    <w:rPr>
      <w:rFonts w:ascii="Consolas" w:hAnsi="Consolas"/>
      <w:sz w:val="20"/>
      <w:szCs w:val="20"/>
    </w:rPr>
  </w:style>
  <w:style w:type="character" w:styleId="HTMLDefinition">
    <w:name w:val="HTML Definition"/>
    <w:basedOn w:val="DefaultParagraphFont"/>
    <w:uiPriority w:val="99"/>
    <w:semiHidden/>
    <w:unhideWhenUsed/>
    <w:locked/>
    <w:rsid w:val="00095532"/>
    <w:rPr>
      <w:i/>
      <w:iCs/>
    </w:rPr>
  </w:style>
  <w:style w:type="character" w:styleId="HTMLKeyboard">
    <w:name w:val="HTML Keyboard"/>
    <w:basedOn w:val="DefaultParagraphFont"/>
    <w:uiPriority w:val="99"/>
    <w:semiHidden/>
    <w:unhideWhenUsed/>
    <w:locked/>
    <w:rsid w:val="00095532"/>
    <w:rPr>
      <w:rFonts w:ascii="Consolas" w:hAnsi="Consolas"/>
      <w:sz w:val="20"/>
      <w:szCs w:val="20"/>
    </w:rPr>
  </w:style>
  <w:style w:type="paragraph" w:styleId="HTMLPreformatted">
    <w:name w:val="HTML Preformatted"/>
    <w:basedOn w:val="Normal"/>
    <w:link w:val="HTMLPreformattedChar"/>
    <w:uiPriority w:val="99"/>
    <w:semiHidden/>
    <w:unhideWhenUsed/>
    <w:locked/>
    <w:rsid w:val="00095532"/>
    <w:rPr>
      <w:rFonts w:ascii="Consolas" w:hAnsi="Consolas"/>
    </w:rPr>
  </w:style>
  <w:style w:type="character" w:customStyle="1" w:styleId="HTMLPreformattedChar">
    <w:name w:val="HTML Preformatted Char"/>
    <w:basedOn w:val="DefaultParagraphFont"/>
    <w:link w:val="HTMLPreformatted"/>
    <w:uiPriority w:val="99"/>
    <w:semiHidden/>
    <w:rsid w:val="00095532"/>
    <w:rPr>
      <w:rFonts w:ascii="Consolas" w:hAnsi="Consolas"/>
    </w:rPr>
  </w:style>
  <w:style w:type="character" w:styleId="HTMLSample">
    <w:name w:val="HTML Sample"/>
    <w:basedOn w:val="DefaultParagraphFont"/>
    <w:uiPriority w:val="99"/>
    <w:semiHidden/>
    <w:unhideWhenUsed/>
    <w:locked/>
    <w:rsid w:val="00095532"/>
    <w:rPr>
      <w:rFonts w:ascii="Consolas" w:hAnsi="Consolas"/>
      <w:sz w:val="24"/>
      <w:szCs w:val="24"/>
    </w:rPr>
  </w:style>
  <w:style w:type="character" w:styleId="HTMLTypewriter">
    <w:name w:val="HTML Typewriter"/>
    <w:basedOn w:val="DefaultParagraphFont"/>
    <w:uiPriority w:val="99"/>
    <w:semiHidden/>
    <w:unhideWhenUsed/>
    <w:locked/>
    <w:rsid w:val="00095532"/>
    <w:rPr>
      <w:rFonts w:ascii="Consolas" w:hAnsi="Consolas"/>
      <w:sz w:val="20"/>
      <w:szCs w:val="20"/>
    </w:rPr>
  </w:style>
  <w:style w:type="character" w:styleId="HTMLVariable">
    <w:name w:val="HTML Variable"/>
    <w:basedOn w:val="DefaultParagraphFont"/>
    <w:uiPriority w:val="99"/>
    <w:semiHidden/>
    <w:unhideWhenUsed/>
    <w:locked/>
    <w:rsid w:val="00095532"/>
    <w:rPr>
      <w:i/>
      <w:iCs/>
    </w:rPr>
  </w:style>
  <w:style w:type="paragraph" w:styleId="Index1">
    <w:name w:val="index 1"/>
    <w:basedOn w:val="Normal"/>
    <w:next w:val="Normal"/>
    <w:autoRedefine/>
    <w:uiPriority w:val="99"/>
    <w:semiHidden/>
    <w:unhideWhenUsed/>
    <w:locked/>
    <w:rsid w:val="00095532"/>
    <w:pPr>
      <w:ind w:left="220" w:hanging="220"/>
    </w:pPr>
  </w:style>
  <w:style w:type="paragraph" w:styleId="Index2">
    <w:name w:val="index 2"/>
    <w:basedOn w:val="Normal"/>
    <w:next w:val="Normal"/>
    <w:autoRedefine/>
    <w:uiPriority w:val="99"/>
    <w:semiHidden/>
    <w:unhideWhenUsed/>
    <w:locked/>
    <w:rsid w:val="00095532"/>
    <w:pPr>
      <w:ind w:left="440" w:hanging="220"/>
    </w:pPr>
  </w:style>
  <w:style w:type="paragraph" w:styleId="Index3">
    <w:name w:val="index 3"/>
    <w:basedOn w:val="Normal"/>
    <w:next w:val="Normal"/>
    <w:autoRedefine/>
    <w:uiPriority w:val="99"/>
    <w:semiHidden/>
    <w:unhideWhenUsed/>
    <w:locked/>
    <w:rsid w:val="00095532"/>
    <w:pPr>
      <w:ind w:left="660" w:hanging="220"/>
    </w:pPr>
  </w:style>
  <w:style w:type="paragraph" w:styleId="Index4">
    <w:name w:val="index 4"/>
    <w:basedOn w:val="Normal"/>
    <w:next w:val="Normal"/>
    <w:autoRedefine/>
    <w:uiPriority w:val="99"/>
    <w:semiHidden/>
    <w:unhideWhenUsed/>
    <w:locked/>
    <w:rsid w:val="00095532"/>
    <w:pPr>
      <w:ind w:left="880" w:hanging="220"/>
    </w:pPr>
  </w:style>
  <w:style w:type="paragraph" w:styleId="Index5">
    <w:name w:val="index 5"/>
    <w:basedOn w:val="Normal"/>
    <w:next w:val="Normal"/>
    <w:autoRedefine/>
    <w:uiPriority w:val="99"/>
    <w:semiHidden/>
    <w:unhideWhenUsed/>
    <w:locked/>
    <w:rsid w:val="00095532"/>
    <w:pPr>
      <w:ind w:left="1100" w:hanging="220"/>
    </w:pPr>
  </w:style>
  <w:style w:type="paragraph" w:styleId="Index6">
    <w:name w:val="index 6"/>
    <w:basedOn w:val="Normal"/>
    <w:next w:val="Normal"/>
    <w:autoRedefine/>
    <w:uiPriority w:val="99"/>
    <w:semiHidden/>
    <w:unhideWhenUsed/>
    <w:locked/>
    <w:rsid w:val="00095532"/>
    <w:pPr>
      <w:ind w:left="1320" w:hanging="220"/>
    </w:pPr>
  </w:style>
  <w:style w:type="paragraph" w:styleId="Index7">
    <w:name w:val="index 7"/>
    <w:basedOn w:val="Normal"/>
    <w:next w:val="Normal"/>
    <w:autoRedefine/>
    <w:uiPriority w:val="99"/>
    <w:semiHidden/>
    <w:unhideWhenUsed/>
    <w:locked/>
    <w:rsid w:val="00095532"/>
    <w:pPr>
      <w:ind w:left="1540" w:hanging="220"/>
    </w:pPr>
  </w:style>
  <w:style w:type="paragraph" w:styleId="Index8">
    <w:name w:val="index 8"/>
    <w:basedOn w:val="Normal"/>
    <w:next w:val="Normal"/>
    <w:autoRedefine/>
    <w:uiPriority w:val="99"/>
    <w:semiHidden/>
    <w:unhideWhenUsed/>
    <w:locked/>
    <w:rsid w:val="00095532"/>
    <w:pPr>
      <w:ind w:left="1760" w:hanging="220"/>
    </w:pPr>
  </w:style>
  <w:style w:type="paragraph" w:styleId="Index9">
    <w:name w:val="index 9"/>
    <w:basedOn w:val="Normal"/>
    <w:next w:val="Normal"/>
    <w:autoRedefine/>
    <w:uiPriority w:val="99"/>
    <w:semiHidden/>
    <w:unhideWhenUsed/>
    <w:locked/>
    <w:rsid w:val="00095532"/>
    <w:pPr>
      <w:ind w:left="1980" w:hanging="220"/>
    </w:pPr>
  </w:style>
  <w:style w:type="paragraph" w:styleId="IndexHeading">
    <w:name w:val="index heading"/>
    <w:basedOn w:val="Normal"/>
    <w:next w:val="Index1"/>
    <w:uiPriority w:val="99"/>
    <w:semiHidden/>
    <w:unhideWhenUsed/>
    <w:locked/>
    <w:rsid w:val="00095532"/>
    <w:rPr>
      <w:rFonts w:eastAsiaTheme="majorEastAsia" w:cstheme="majorBidi"/>
      <w:b/>
      <w:bCs/>
    </w:rPr>
  </w:style>
  <w:style w:type="character" w:styleId="IntenseEmphasis">
    <w:name w:val="Intense Emphasis"/>
    <w:basedOn w:val="DefaultParagraphFont"/>
    <w:uiPriority w:val="99"/>
    <w:semiHidden/>
    <w:qFormat/>
    <w:locked/>
    <w:rsid w:val="00095532"/>
    <w:rPr>
      <w:i/>
      <w:iCs/>
      <w:color w:val="231EDC" w:themeColor="accent1"/>
    </w:rPr>
  </w:style>
  <w:style w:type="paragraph" w:styleId="IntenseQuote">
    <w:name w:val="Intense Quote"/>
    <w:basedOn w:val="Normal"/>
    <w:next w:val="Normal"/>
    <w:link w:val="IntenseQuoteChar"/>
    <w:uiPriority w:val="99"/>
    <w:semiHidden/>
    <w:qFormat/>
    <w:locked/>
    <w:rsid w:val="00095532"/>
    <w:pPr>
      <w:pBdr>
        <w:top w:val="single" w:sz="4" w:space="10" w:color="231EDC" w:themeColor="accent1"/>
        <w:bottom w:val="single" w:sz="4" w:space="10" w:color="231EDC" w:themeColor="accent1"/>
      </w:pBdr>
      <w:spacing w:before="360" w:after="360"/>
      <w:ind w:left="864" w:right="864"/>
      <w:jc w:val="center"/>
    </w:pPr>
    <w:rPr>
      <w:i/>
      <w:iCs/>
      <w:color w:val="231EDC" w:themeColor="accent1"/>
    </w:rPr>
  </w:style>
  <w:style w:type="character" w:customStyle="1" w:styleId="IntenseQuoteChar">
    <w:name w:val="Intense Quote Char"/>
    <w:basedOn w:val="DefaultParagraphFont"/>
    <w:link w:val="IntenseQuote"/>
    <w:uiPriority w:val="30"/>
    <w:semiHidden/>
    <w:rsid w:val="00095532"/>
    <w:rPr>
      <w:i/>
      <w:iCs/>
      <w:color w:val="231EDC" w:themeColor="accent1"/>
    </w:rPr>
  </w:style>
  <w:style w:type="character" w:styleId="IntenseReference">
    <w:name w:val="Intense Reference"/>
    <w:basedOn w:val="DefaultParagraphFont"/>
    <w:uiPriority w:val="99"/>
    <w:semiHidden/>
    <w:qFormat/>
    <w:locked/>
    <w:rsid w:val="00095532"/>
    <w:rPr>
      <w:b/>
      <w:bCs/>
      <w:smallCaps/>
      <w:color w:val="231EDC" w:themeColor="accent1"/>
      <w:spacing w:val="5"/>
    </w:rPr>
  </w:style>
  <w:style w:type="table" w:styleId="LightGrid">
    <w:name w:val="Light Grid"/>
    <w:basedOn w:val="TableNormal"/>
    <w:uiPriority w:val="62"/>
    <w:semiHidden/>
    <w:unhideWhenUsed/>
    <w:locked/>
    <w:rsid w:val="0009553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locked/>
    <w:rsid w:val="00095532"/>
    <w:pPr>
      <w:spacing w:line="240" w:lineRule="auto"/>
    </w:p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18" w:space="0" w:color="231EDC" w:themeColor="accent1"/>
          <w:right w:val="single" w:sz="8" w:space="0" w:color="231EDC" w:themeColor="accent1"/>
          <w:insideH w:val="nil"/>
          <w:insideV w:val="single" w:sz="8" w:space="0" w:color="231E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insideH w:val="nil"/>
          <w:insideV w:val="single" w:sz="8" w:space="0" w:color="231E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shd w:val="clear" w:color="auto" w:fill="C7C6F7" w:themeFill="accent1" w:themeFillTint="3F"/>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shd w:val="clear" w:color="auto" w:fill="C7C6F7" w:themeFill="accent1" w:themeFillTint="3F"/>
      </w:tcPr>
    </w:tblStylePr>
    <w:tblStylePr w:type="band2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tcPr>
    </w:tblStylePr>
  </w:style>
  <w:style w:type="table" w:styleId="LightGrid-Accent2">
    <w:name w:val="Light Grid Accent 2"/>
    <w:basedOn w:val="TableNormal"/>
    <w:uiPriority w:val="62"/>
    <w:semiHidden/>
    <w:unhideWhenUsed/>
    <w:locked/>
    <w:rsid w:val="00095532"/>
    <w:pPr>
      <w:spacing w:line="240" w:lineRule="auto"/>
    </w:p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18" w:space="0" w:color="0A7DFF" w:themeColor="accent2"/>
          <w:right w:val="single" w:sz="8" w:space="0" w:color="0A7DFF" w:themeColor="accent2"/>
          <w:insideH w:val="nil"/>
          <w:insideV w:val="single" w:sz="8" w:space="0" w:color="0A7D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insideH w:val="nil"/>
          <w:insideV w:val="single" w:sz="8" w:space="0" w:color="0A7D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shd w:val="clear" w:color="auto" w:fill="C2DEFF" w:themeFill="accent2" w:themeFillTint="3F"/>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shd w:val="clear" w:color="auto" w:fill="C2DEFF" w:themeFill="accent2" w:themeFillTint="3F"/>
      </w:tcPr>
    </w:tblStylePr>
    <w:tblStylePr w:type="band2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tcPr>
    </w:tblStylePr>
  </w:style>
  <w:style w:type="table" w:styleId="LightGrid-Accent3">
    <w:name w:val="Light Grid Accent 3"/>
    <w:basedOn w:val="TableNormal"/>
    <w:uiPriority w:val="62"/>
    <w:semiHidden/>
    <w:unhideWhenUsed/>
    <w:locked/>
    <w:rsid w:val="00095532"/>
    <w:pPr>
      <w:spacing w:line="240" w:lineRule="auto"/>
    </w:p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18" w:space="0" w:color="5AE6FF" w:themeColor="accent3"/>
          <w:right w:val="single" w:sz="8" w:space="0" w:color="5AE6FF" w:themeColor="accent3"/>
          <w:insideH w:val="nil"/>
          <w:insideV w:val="single" w:sz="8" w:space="0" w:color="5AE6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insideH w:val="nil"/>
          <w:insideV w:val="single" w:sz="8" w:space="0" w:color="5AE6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shd w:val="clear" w:color="auto" w:fill="D6F8FF" w:themeFill="accent3" w:themeFillTint="3F"/>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shd w:val="clear" w:color="auto" w:fill="D6F8FF" w:themeFill="accent3" w:themeFillTint="3F"/>
      </w:tcPr>
    </w:tblStylePr>
    <w:tblStylePr w:type="band2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tcPr>
    </w:tblStylePr>
  </w:style>
  <w:style w:type="table" w:styleId="LightGrid-Accent4">
    <w:name w:val="Light Grid Accent 4"/>
    <w:basedOn w:val="TableNormal"/>
    <w:uiPriority w:val="62"/>
    <w:semiHidden/>
    <w:unhideWhenUsed/>
    <w:locked/>
    <w:rsid w:val="00095532"/>
    <w:pPr>
      <w:spacing w:line="240" w:lineRule="auto"/>
    </w:p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18" w:space="0" w:color="001E55" w:themeColor="accent4"/>
          <w:right w:val="single" w:sz="8" w:space="0" w:color="001E55" w:themeColor="accent4"/>
          <w:insideH w:val="nil"/>
          <w:insideV w:val="single" w:sz="8" w:space="0" w:color="001E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insideH w:val="nil"/>
          <w:insideV w:val="single" w:sz="8" w:space="0" w:color="001E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shd w:val="clear" w:color="auto" w:fill="96BBFF" w:themeFill="accent4" w:themeFillTint="3F"/>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shd w:val="clear" w:color="auto" w:fill="96BBFF" w:themeFill="accent4" w:themeFillTint="3F"/>
      </w:tcPr>
    </w:tblStylePr>
    <w:tblStylePr w:type="band2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tcPr>
    </w:tblStylePr>
  </w:style>
  <w:style w:type="table" w:styleId="LightGrid-Accent5">
    <w:name w:val="Light Grid Accent 5"/>
    <w:basedOn w:val="TableNormal"/>
    <w:uiPriority w:val="62"/>
    <w:semiHidden/>
    <w:unhideWhenUsed/>
    <w:locked/>
    <w:rsid w:val="00095532"/>
    <w:pPr>
      <w:spacing w:line="240" w:lineRule="auto"/>
    </w:p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18" w:space="0" w:color="A5A5A5" w:themeColor="accent5"/>
          <w:right w:val="single" w:sz="8" w:space="0" w:color="A5A5A5" w:themeColor="accent5"/>
          <w:insideH w:val="nil"/>
          <w:insideV w:val="single" w:sz="8" w:space="0" w:color="A5A5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insideH w:val="nil"/>
          <w:insideV w:val="single" w:sz="8" w:space="0" w:color="A5A5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shd w:val="clear" w:color="auto" w:fill="E8E8E8" w:themeFill="accent5" w:themeFillTint="3F"/>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shd w:val="clear" w:color="auto" w:fill="E8E8E8" w:themeFill="accent5" w:themeFillTint="3F"/>
      </w:tcPr>
    </w:tblStylePr>
    <w:tblStylePr w:type="band2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tcPr>
    </w:tblStylePr>
  </w:style>
  <w:style w:type="table" w:styleId="LightGrid-Accent6">
    <w:name w:val="Light Grid Accent 6"/>
    <w:basedOn w:val="TableNormal"/>
    <w:uiPriority w:val="62"/>
    <w:semiHidden/>
    <w:unhideWhenUsed/>
    <w:locked/>
    <w:rsid w:val="00095532"/>
    <w:pPr>
      <w:spacing w:line="240" w:lineRule="auto"/>
    </w:p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locked/>
    <w:rsid w:val="00095532"/>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locked/>
    <w:rsid w:val="00095532"/>
    <w:pPr>
      <w:spacing w:line="240" w:lineRule="auto"/>
    </w:p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pPr>
        <w:spacing w:before="0" w:after="0" w:line="240" w:lineRule="auto"/>
      </w:pPr>
      <w:rPr>
        <w:b/>
        <w:bCs/>
        <w:color w:val="FFFFFF" w:themeColor="background1"/>
      </w:rPr>
      <w:tblPr/>
      <w:tcPr>
        <w:shd w:val="clear" w:color="auto" w:fill="231EDC" w:themeFill="accent1"/>
      </w:tcPr>
    </w:tblStylePr>
    <w:tblStylePr w:type="lastRow">
      <w:pPr>
        <w:spacing w:before="0" w:after="0" w:line="240" w:lineRule="auto"/>
      </w:pPr>
      <w:rPr>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tcBorders>
      </w:tcPr>
    </w:tblStylePr>
    <w:tblStylePr w:type="firstCol">
      <w:rPr>
        <w:b/>
        <w:bCs/>
      </w:rPr>
    </w:tblStylePr>
    <w:tblStylePr w:type="lastCol">
      <w:rPr>
        <w:b/>
        <w:bCs/>
      </w:r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style>
  <w:style w:type="table" w:styleId="LightList-Accent2">
    <w:name w:val="Light List Accent 2"/>
    <w:basedOn w:val="TableNormal"/>
    <w:uiPriority w:val="61"/>
    <w:semiHidden/>
    <w:unhideWhenUsed/>
    <w:locked/>
    <w:rsid w:val="00095532"/>
    <w:pPr>
      <w:spacing w:line="240" w:lineRule="auto"/>
    </w:p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pPr>
        <w:spacing w:before="0" w:after="0" w:line="240" w:lineRule="auto"/>
      </w:pPr>
      <w:rPr>
        <w:b/>
        <w:bCs/>
        <w:color w:val="FFFFFF" w:themeColor="background1"/>
      </w:rPr>
      <w:tblPr/>
      <w:tcPr>
        <w:shd w:val="clear" w:color="auto" w:fill="0A7DFF" w:themeFill="accent2"/>
      </w:tcPr>
    </w:tblStylePr>
    <w:tblStylePr w:type="lastRow">
      <w:pPr>
        <w:spacing w:before="0" w:after="0" w:line="240" w:lineRule="auto"/>
      </w:pPr>
      <w:rPr>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tcBorders>
      </w:tcPr>
    </w:tblStylePr>
    <w:tblStylePr w:type="firstCol">
      <w:rPr>
        <w:b/>
        <w:bCs/>
      </w:rPr>
    </w:tblStylePr>
    <w:tblStylePr w:type="lastCol">
      <w:rPr>
        <w:b/>
        <w:bCs/>
      </w:r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style>
  <w:style w:type="table" w:styleId="LightList-Accent3">
    <w:name w:val="Light List Accent 3"/>
    <w:basedOn w:val="TableNormal"/>
    <w:uiPriority w:val="61"/>
    <w:semiHidden/>
    <w:unhideWhenUsed/>
    <w:locked/>
    <w:rsid w:val="00095532"/>
    <w:pPr>
      <w:spacing w:line="240" w:lineRule="auto"/>
    </w:p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pPr>
        <w:spacing w:before="0" w:after="0" w:line="240" w:lineRule="auto"/>
      </w:pPr>
      <w:rPr>
        <w:b/>
        <w:bCs/>
        <w:color w:val="FFFFFF" w:themeColor="background1"/>
      </w:rPr>
      <w:tblPr/>
      <w:tcPr>
        <w:shd w:val="clear" w:color="auto" w:fill="5AE6FF" w:themeFill="accent3"/>
      </w:tcPr>
    </w:tblStylePr>
    <w:tblStylePr w:type="lastRow">
      <w:pPr>
        <w:spacing w:before="0" w:after="0" w:line="240" w:lineRule="auto"/>
      </w:pPr>
      <w:rPr>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tcBorders>
      </w:tcPr>
    </w:tblStylePr>
    <w:tblStylePr w:type="firstCol">
      <w:rPr>
        <w:b/>
        <w:bCs/>
      </w:rPr>
    </w:tblStylePr>
    <w:tblStylePr w:type="lastCol">
      <w:rPr>
        <w:b/>
        <w:bCs/>
      </w:r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style>
  <w:style w:type="table" w:styleId="LightList-Accent4">
    <w:name w:val="Light List Accent 4"/>
    <w:basedOn w:val="TableNormal"/>
    <w:uiPriority w:val="61"/>
    <w:semiHidden/>
    <w:unhideWhenUsed/>
    <w:locked/>
    <w:rsid w:val="00095532"/>
    <w:pPr>
      <w:spacing w:line="240" w:lineRule="auto"/>
    </w:p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pPr>
        <w:spacing w:before="0" w:after="0" w:line="240" w:lineRule="auto"/>
      </w:pPr>
      <w:rPr>
        <w:b/>
        <w:bCs/>
        <w:color w:val="FFFFFF" w:themeColor="background1"/>
      </w:rPr>
      <w:tblPr/>
      <w:tcPr>
        <w:shd w:val="clear" w:color="auto" w:fill="001E55" w:themeFill="accent4"/>
      </w:tcPr>
    </w:tblStylePr>
    <w:tblStylePr w:type="lastRow">
      <w:pPr>
        <w:spacing w:before="0" w:after="0" w:line="240" w:lineRule="auto"/>
      </w:pPr>
      <w:rPr>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tcBorders>
      </w:tcPr>
    </w:tblStylePr>
    <w:tblStylePr w:type="firstCol">
      <w:rPr>
        <w:b/>
        <w:bCs/>
      </w:rPr>
    </w:tblStylePr>
    <w:tblStylePr w:type="lastCol">
      <w:rPr>
        <w:b/>
        <w:bCs/>
      </w:r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style>
  <w:style w:type="table" w:styleId="LightList-Accent5">
    <w:name w:val="Light List Accent 5"/>
    <w:basedOn w:val="TableNormal"/>
    <w:uiPriority w:val="61"/>
    <w:semiHidden/>
    <w:unhideWhenUsed/>
    <w:locked/>
    <w:rsid w:val="00095532"/>
    <w:pPr>
      <w:spacing w:line="240" w:lineRule="auto"/>
    </w:p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pPr>
        <w:spacing w:before="0" w:after="0" w:line="240" w:lineRule="auto"/>
      </w:pPr>
      <w:rPr>
        <w:b/>
        <w:bCs/>
        <w:color w:val="FFFFFF" w:themeColor="background1"/>
      </w:rPr>
      <w:tblPr/>
      <w:tcPr>
        <w:shd w:val="clear" w:color="auto" w:fill="A5A5A5" w:themeFill="accent5"/>
      </w:tcPr>
    </w:tblStylePr>
    <w:tblStylePr w:type="lastRow">
      <w:pPr>
        <w:spacing w:before="0" w:after="0" w:line="240" w:lineRule="auto"/>
      </w:pPr>
      <w:rPr>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tcBorders>
      </w:tcPr>
    </w:tblStylePr>
    <w:tblStylePr w:type="firstCol">
      <w:rPr>
        <w:b/>
        <w:bCs/>
      </w:rPr>
    </w:tblStylePr>
    <w:tblStylePr w:type="lastCol">
      <w:rPr>
        <w:b/>
        <w:bCs/>
      </w:r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style>
  <w:style w:type="table" w:styleId="LightList-Accent6">
    <w:name w:val="Light List Accent 6"/>
    <w:basedOn w:val="TableNormal"/>
    <w:uiPriority w:val="61"/>
    <w:semiHidden/>
    <w:unhideWhenUsed/>
    <w:locked/>
    <w:rsid w:val="00095532"/>
    <w:pPr>
      <w:spacing w:line="240" w:lineRule="auto"/>
    </w:p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locked/>
    <w:rsid w:val="00095532"/>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095532"/>
    <w:pPr>
      <w:spacing w:line="240" w:lineRule="auto"/>
    </w:pPr>
    <w:rPr>
      <w:color w:val="1916A4" w:themeColor="accent1" w:themeShade="BF"/>
    </w:rPr>
    <w:tblPr>
      <w:tblStyleRowBandSize w:val="1"/>
      <w:tblStyleColBandSize w:val="1"/>
      <w:tblBorders>
        <w:top w:val="single" w:sz="8" w:space="0" w:color="231EDC" w:themeColor="accent1"/>
        <w:bottom w:val="single" w:sz="8" w:space="0" w:color="231EDC" w:themeColor="accent1"/>
      </w:tblBorders>
    </w:tblPr>
    <w:tblStylePr w:type="fir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la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left w:val="nil"/>
          <w:right w:val="nil"/>
          <w:insideH w:val="nil"/>
          <w:insideV w:val="nil"/>
        </w:tcBorders>
        <w:shd w:val="clear" w:color="auto" w:fill="C7C6F7" w:themeFill="accent1" w:themeFillTint="3F"/>
      </w:tcPr>
    </w:tblStylePr>
  </w:style>
  <w:style w:type="table" w:styleId="LightShading-Accent2">
    <w:name w:val="Light Shading Accent 2"/>
    <w:basedOn w:val="TableNormal"/>
    <w:uiPriority w:val="60"/>
    <w:semiHidden/>
    <w:unhideWhenUsed/>
    <w:locked/>
    <w:rsid w:val="00095532"/>
    <w:pPr>
      <w:spacing w:line="240" w:lineRule="auto"/>
    </w:pPr>
    <w:rPr>
      <w:color w:val="005CC6" w:themeColor="accent2" w:themeShade="BF"/>
    </w:rPr>
    <w:tblPr>
      <w:tblStyleRowBandSize w:val="1"/>
      <w:tblStyleColBandSize w:val="1"/>
      <w:tblBorders>
        <w:top w:val="single" w:sz="8" w:space="0" w:color="0A7DFF" w:themeColor="accent2"/>
        <w:bottom w:val="single" w:sz="8" w:space="0" w:color="0A7DFF" w:themeColor="accent2"/>
      </w:tblBorders>
    </w:tblPr>
    <w:tblStylePr w:type="fir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la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left w:val="nil"/>
          <w:right w:val="nil"/>
          <w:insideH w:val="nil"/>
          <w:insideV w:val="nil"/>
        </w:tcBorders>
        <w:shd w:val="clear" w:color="auto" w:fill="C2DEFF" w:themeFill="accent2" w:themeFillTint="3F"/>
      </w:tcPr>
    </w:tblStylePr>
  </w:style>
  <w:style w:type="table" w:styleId="LightShading-Accent3">
    <w:name w:val="Light Shading Accent 3"/>
    <w:basedOn w:val="TableNormal"/>
    <w:uiPriority w:val="60"/>
    <w:semiHidden/>
    <w:unhideWhenUsed/>
    <w:locked/>
    <w:rsid w:val="00095532"/>
    <w:pPr>
      <w:spacing w:line="240" w:lineRule="auto"/>
    </w:pPr>
    <w:rPr>
      <w:color w:val="03D8FF" w:themeColor="accent3" w:themeShade="BF"/>
    </w:rPr>
    <w:tblPr>
      <w:tblStyleRowBandSize w:val="1"/>
      <w:tblStyleColBandSize w:val="1"/>
      <w:tblBorders>
        <w:top w:val="single" w:sz="8" w:space="0" w:color="5AE6FF" w:themeColor="accent3"/>
        <w:bottom w:val="single" w:sz="8" w:space="0" w:color="5AE6FF" w:themeColor="accent3"/>
      </w:tblBorders>
    </w:tblPr>
    <w:tblStylePr w:type="fir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la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left w:val="nil"/>
          <w:right w:val="nil"/>
          <w:insideH w:val="nil"/>
          <w:insideV w:val="nil"/>
        </w:tcBorders>
        <w:shd w:val="clear" w:color="auto" w:fill="D6F8FF" w:themeFill="accent3" w:themeFillTint="3F"/>
      </w:tcPr>
    </w:tblStylePr>
  </w:style>
  <w:style w:type="table" w:styleId="LightShading-Accent4">
    <w:name w:val="Light Shading Accent 4"/>
    <w:basedOn w:val="TableNormal"/>
    <w:uiPriority w:val="60"/>
    <w:semiHidden/>
    <w:unhideWhenUsed/>
    <w:locked/>
    <w:rsid w:val="00095532"/>
    <w:pPr>
      <w:spacing w:line="240" w:lineRule="auto"/>
    </w:pPr>
    <w:rPr>
      <w:color w:val="00163F" w:themeColor="accent4" w:themeShade="BF"/>
    </w:rPr>
    <w:tblPr>
      <w:tblStyleRowBandSize w:val="1"/>
      <w:tblStyleColBandSize w:val="1"/>
      <w:tblBorders>
        <w:top w:val="single" w:sz="8" w:space="0" w:color="001E55" w:themeColor="accent4"/>
        <w:bottom w:val="single" w:sz="8" w:space="0" w:color="001E55" w:themeColor="accent4"/>
      </w:tblBorders>
    </w:tblPr>
    <w:tblStylePr w:type="fir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la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left w:val="nil"/>
          <w:right w:val="nil"/>
          <w:insideH w:val="nil"/>
          <w:insideV w:val="nil"/>
        </w:tcBorders>
        <w:shd w:val="clear" w:color="auto" w:fill="96BBFF" w:themeFill="accent4" w:themeFillTint="3F"/>
      </w:tcPr>
    </w:tblStylePr>
  </w:style>
  <w:style w:type="table" w:styleId="LightShading-Accent5">
    <w:name w:val="Light Shading Accent 5"/>
    <w:basedOn w:val="TableNormal"/>
    <w:uiPriority w:val="60"/>
    <w:semiHidden/>
    <w:unhideWhenUsed/>
    <w:locked/>
    <w:rsid w:val="00095532"/>
    <w:pPr>
      <w:spacing w:line="240" w:lineRule="auto"/>
    </w:pPr>
    <w:rPr>
      <w:color w:val="7B7B7B" w:themeColor="accent5" w:themeShade="BF"/>
    </w:rPr>
    <w:tblPr>
      <w:tblStyleRowBandSize w:val="1"/>
      <w:tblStyleColBandSize w:val="1"/>
      <w:tblBorders>
        <w:top w:val="single" w:sz="8" w:space="0" w:color="A5A5A5" w:themeColor="accent5"/>
        <w:bottom w:val="single" w:sz="8" w:space="0" w:color="A5A5A5" w:themeColor="accent5"/>
      </w:tblBorders>
    </w:tblPr>
    <w:tblStylePr w:type="fir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la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left w:val="nil"/>
          <w:right w:val="nil"/>
          <w:insideH w:val="nil"/>
          <w:insideV w:val="nil"/>
        </w:tcBorders>
        <w:shd w:val="clear" w:color="auto" w:fill="E8E8E8" w:themeFill="accent5" w:themeFillTint="3F"/>
      </w:tcPr>
    </w:tblStylePr>
  </w:style>
  <w:style w:type="table" w:styleId="LightShading-Accent6">
    <w:name w:val="Light Shading Accent 6"/>
    <w:basedOn w:val="TableNormal"/>
    <w:uiPriority w:val="60"/>
    <w:semiHidden/>
    <w:unhideWhenUsed/>
    <w:locked/>
    <w:rsid w:val="00095532"/>
    <w:pPr>
      <w:spacing w:line="240" w:lineRule="auto"/>
    </w:pPr>
    <w:rPr>
      <w:color w:val="959595" w:themeColor="accent6" w:themeShade="BF"/>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locked/>
    <w:rsid w:val="00095532"/>
  </w:style>
  <w:style w:type="paragraph" w:styleId="List">
    <w:name w:val="List"/>
    <w:basedOn w:val="Normal"/>
    <w:uiPriority w:val="99"/>
    <w:semiHidden/>
    <w:unhideWhenUsed/>
    <w:locked/>
    <w:rsid w:val="00095532"/>
    <w:pPr>
      <w:ind w:left="283" w:hanging="283"/>
      <w:contextualSpacing/>
    </w:pPr>
  </w:style>
  <w:style w:type="paragraph" w:styleId="List2">
    <w:name w:val="List 2"/>
    <w:basedOn w:val="Normal"/>
    <w:uiPriority w:val="99"/>
    <w:semiHidden/>
    <w:unhideWhenUsed/>
    <w:locked/>
    <w:rsid w:val="00095532"/>
    <w:pPr>
      <w:ind w:left="566" w:hanging="283"/>
      <w:contextualSpacing/>
    </w:pPr>
  </w:style>
  <w:style w:type="paragraph" w:styleId="List3">
    <w:name w:val="List 3"/>
    <w:basedOn w:val="Normal"/>
    <w:uiPriority w:val="99"/>
    <w:semiHidden/>
    <w:unhideWhenUsed/>
    <w:locked/>
    <w:rsid w:val="00095532"/>
    <w:pPr>
      <w:ind w:left="849" w:hanging="283"/>
      <w:contextualSpacing/>
    </w:pPr>
  </w:style>
  <w:style w:type="paragraph" w:styleId="List4">
    <w:name w:val="List 4"/>
    <w:basedOn w:val="Normal"/>
    <w:uiPriority w:val="99"/>
    <w:semiHidden/>
    <w:unhideWhenUsed/>
    <w:locked/>
    <w:rsid w:val="00095532"/>
    <w:pPr>
      <w:ind w:left="1132" w:hanging="283"/>
      <w:contextualSpacing/>
    </w:pPr>
  </w:style>
  <w:style w:type="paragraph" w:styleId="List5">
    <w:name w:val="List 5"/>
    <w:basedOn w:val="Normal"/>
    <w:uiPriority w:val="99"/>
    <w:semiHidden/>
    <w:unhideWhenUsed/>
    <w:locked/>
    <w:rsid w:val="00095532"/>
    <w:pPr>
      <w:ind w:left="1415" w:hanging="283"/>
      <w:contextualSpacing/>
    </w:pPr>
  </w:style>
  <w:style w:type="paragraph" w:styleId="ListBullet4">
    <w:name w:val="List Bullet 4"/>
    <w:basedOn w:val="Normal"/>
    <w:uiPriority w:val="99"/>
    <w:semiHidden/>
    <w:unhideWhenUsed/>
    <w:locked/>
    <w:rsid w:val="00095532"/>
    <w:pPr>
      <w:tabs>
        <w:tab w:val="num" w:pos="1209"/>
      </w:tabs>
      <w:ind w:left="1209" w:hanging="360"/>
      <w:contextualSpacing/>
    </w:pPr>
  </w:style>
  <w:style w:type="paragraph" w:styleId="ListBullet5">
    <w:name w:val="List Bullet 5"/>
    <w:basedOn w:val="Normal"/>
    <w:uiPriority w:val="99"/>
    <w:semiHidden/>
    <w:unhideWhenUsed/>
    <w:locked/>
    <w:rsid w:val="00095532"/>
    <w:pPr>
      <w:tabs>
        <w:tab w:val="num" w:pos="1492"/>
      </w:tabs>
      <w:ind w:left="1492" w:hanging="360"/>
      <w:contextualSpacing/>
    </w:pPr>
  </w:style>
  <w:style w:type="paragraph" w:styleId="ListContinue">
    <w:name w:val="List Continue"/>
    <w:basedOn w:val="Normal"/>
    <w:uiPriority w:val="99"/>
    <w:semiHidden/>
    <w:unhideWhenUsed/>
    <w:locked/>
    <w:rsid w:val="00095532"/>
    <w:pPr>
      <w:spacing w:after="120"/>
      <w:ind w:left="283"/>
      <w:contextualSpacing/>
    </w:pPr>
  </w:style>
  <w:style w:type="paragraph" w:styleId="ListContinue2">
    <w:name w:val="List Continue 2"/>
    <w:basedOn w:val="Normal"/>
    <w:uiPriority w:val="99"/>
    <w:semiHidden/>
    <w:unhideWhenUsed/>
    <w:locked/>
    <w:rsid w:val="00095532"/>
    <w:pPr>
      <w:spacing w:after="120"/>
      <w:ind w:left="566"/>
      <w:contextualSpacing/>
    </w:pPr>
  </w:style>
  <w:style w:type="paragraph" w:styleId="ListContinue3">
    <w:name w:val="List Continue 3"/>
    <w:basedOn w:val="Normal"/>
    <w:uiPriority w:val="99"/>
    <w:semiHidden/>
    <w:unhideWhenUsed/>
    <w:locked/>
    <w:rsid w:val="00095532"/>
    <w:pPr>
      <w:spacing w:after="120"/>
      <w:ind w:left="849"/>
      <w:contextualSpacing/>
    </w:pPr>
  </w:style>
  <w:style w:type="paragraph" w:styleId="ListContinue4">
    <w:name w:val="List Continue 4"/>
    <w:basedOn w:val="Normal"/>
    <w:uiPriority w:val="99"/>
    <w:semiHidden/>
    <w:unhideWhenUsed/>
    <w:locked/>
    <w:rsid w:val="00095532"/>
    <w:pPr>
      <w:spacing w:after="120"/>
      <w:ind w:left="1132"/>
      <w:contextualSpacing/>
    </w:pPr>
  </w:style>
  <w:style w:type="paragraph" w:styleId="ListContinue5">
    <w:name w:val="List Continue 5"/>
    <w:basedOn w:val="Normal"/>
    <w:uiPriority w:val="99"/>
    <w:semiHidden/>
    <w:unhideWhenUsed/>
    <w:locked/>
    <w:rsid w:val="00095532"/>
    <w:pPr>
      <w:spacing w:after="120"/>
      <w:ind w:left="1415"/>
      <w:contextualSpacing/>
    </w:pPr>
  </w:style>
  <w:style w:type="paragraph" w:styleId="ListNumber5">
    <w:name w:val="List Number 5"/>
    <w:basedOn w:val="Normal"/>
    <w:uiPriority w:val="99"/>
    <w:semiHidden/>
    <w:unhideWhenUsed/>
    <w:locked/>
    <w:rsid w:val="00095532"/>
    <w:pPr>
      <w:tabs>
        <w:tab w:val="num" w:pos="1492"/>
      </w:tabs>
      <w:ind w:left="1492" w:hanging="360"/>
      <w:contextualSpacing/>
    </w:pPr>
  </w:style>
  <w:style w:type="table" w:styleId="ListTable1Light">
    <w:name w:val="List Table 1 Light"/>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7875EC" w:themeColor="accent1" w:themeTint="99"/>
        </w:tcBorders>
      </w:tcPr>
    </w:tblStylePr>
    <w:tblStylePr w:type="lastRow">
      <w:rPr>
        <w:b/>
        <w:bCs/>
      </w:rPr>
      <w:tblPr/>
      <w:tcPr>
        <w:tcBorders>
          <w:top w:val="sing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1Light-Accent2">
    <w:name w:val="List Table 1 Light Accent 2"/>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6CB0FF" w:themeColor="accent2" w:themeTint="99"/>
        </w:tcBorders>
      </w:tcPr>
    </w:tblStylePr>
    <w:tblStylePr w:type="lastRow">
      <w:rPr>
        <w:b/>
        <w:bCs/>
      </w:rPr>
      <w:tblPr/>
      <w:tcPr>
        <w:tcBorders>
          <w:top w:val="sing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1Light-Accent3">
    <w:name w:val="List Table 1 Light Accent 3"/>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9CEFFF" w:themeColor="accent3" w:themeTint="99"/>
        </w:tcBorders>
      </w:tcPr>
    </w:tblStylePr>
    <w:tblStylePr w:type="lastRow">
      <w:rPr>
        <w:b/>
        <w:bCs/>
      </w:rPr>
      <w:tblPr/>
      <w:tcPr>
        <w:tcBorders>
          <w:top w:val="sing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1Light-Accent4">
    <w:name w:val="List Table 1 Light Accent 4"/>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005AFF" w:themeColor="accent4" w:themeTint="99"/>
        </w:tcBorders>
      </w:tcPr>
    </w:tblStylePr>
    <w:tblStylePr w:type="lastRow">
      <w:rPr>
        <w:b/>
        <w:bCs/>
      </w:rPr>
      <w:tblPr/>
      <w:tcPr>
        <w:tcBorders>
          <w:top w:val="sing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1Light-Accent5">
    <w:name w:val="List Table 1 Light Accent 5"/>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C9C9C9" w:themeColor="accent5" w:themeTint="99"/>
        </w:tcBorders>
      </w:tcPr>
    </w:tblStylePr>
    <w:tblStylePr w:type="lastRow">
      <w:rPr>
        <w:b/>
        <w:bCs/>
      </w:rPr>
      <w:tblPr/>
      <w:tcPr>
        <w:tcBorders>
          <w:top w:val="sing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1Light-Accent6">
    <w:name w:val="List Table 1 Light Accent 6"/>
    <w:basedOn w:val="TableNormal"/>
    <w:uiPriority w:val="46"/>
    <w:locked/>
    <w:rsid w:val="00095532"/>
    <w:pPr>
      <w:spacing w:line="240" w:lineRule="auto"/>
    </w:pPr>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locked/>
    <w:rsid w:val="00095532"/>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095532"/>
    <w:pPr>
      <w:spacing w:line="240" w:lineRule="auto"/>
    </w:pPr>
    <w:tblPr>
      <w:tblStyleRowBandSize w:val="1"/>
      <w:tblStyleColBandSize w:val="1"/>
      <w:tblBorders>
        <w:top w:val="single" w:sz="4" w:space="0" w:color="7875EC" w:themeColor="accent1" w:themeTint="99"/>
        <w:bottom w:val="single" w:sz="4" w:space="0" w:color="7875EC" w:themeColor="accent1" w:themeTint="99"/>
        <w:insideH w:val="single" w:sz="4" w:space="0" w:color="7875E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2-Accent2">
    <w:name w:val="List Table 2 Accent 2"/>
    <w:basedOn w:val="TableNormal"/>
    <w:uiPriority w:val="47"/>
    <w:locked/>
    <w:rsid w:val="00095532"/>
    <w:pPr>
      <w:spacing w:line="240" w:lineRule="auto"/>
    </w:pPr>
    <w:tblPr>
      <w:tblStyleRowBandSize w:val="1"/>
      <w:tblStyleColBandSize w:val="1"/>
      <w:tblBorders>
        <w:top w:val="single" w:sz="4" w:space="0" w:color="6CB0FF" w:themeColor="accent2" w:themeTint="99"/>
        <w:bottom w:val="single" w:sz="4" w:space="0" w:color="6CB0FF" w:themeColor="accent2" w:themeTint="99"/>
        <w:insideH w:val="single" w:sz="4" w:space="0" w:color="6C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2-Accent3">
    <w:name w:val="List Table 2 Accent 3"/>
    <w:basedOn w:val="TableNormal"/>
    <w:uiPriority w:val="47"/>
    <w:locked/>
    <w:rsid w:val="00095532"/>
    <w:pPr>
      <w:spacing w:line="240" w:lineRule="auto"/>
    </w:pPr>
    <w:tblPr>
      <w:tblStyleRowBandSize w:val="1"/>
      <w:tblStyleColBandSize w:val="1"/>
      <w:tblBorders>
        <w:top w:val="single" w:sz="4" w:space="0" w:color="9CEFFF" w:themeColor="accent3" w:themeTint="99"/>
        <w:bottom w:val="single" w:sz="4" w:space="0" w:color="9CEFFF" w:themeColor="accent3" w:themeTint="99"/>
        <w:insideH w:val="single" w:sz="4" w:space="0" w:color="9CE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2-Accent4">
    <w:name w:val="List Table 2 Accent 4"/>
    <w:basedOn w:val="TableNormal"/>
    <w:uiPriority w:val="47"/>
    <w:locked/>
    <w:rsid w:val="00095532"/>
    <w:pPr>
      <w:spacing w:line="240" w:lineRule="auto"/>
    </w:pPr>
    <w:tblPr>
      <w:tblStyleRowBandSize w:val="1"/>
      <w:tblStyleColBandSize w:val="1"/>
      <w:tblBorders>
        <w:top w:val="single" w:sz="4" w:space="0" w:color="005AFF" w:themeColor="accent4" w:themeTint="99"/>
        <w:bottom w:val="single" w:sz="4" w:space="0" w:color="005AFF" w:themeColor="accent4" w:themeTint="99"/>
        <w:insideH w:val="single" w:sz="4" w:space="0" w:color="005A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2-Accent5">
    <w:name w:val="List Table 2 Accent 5"/>
    <w:basedOn w:val="TableNormal"/>
    <w:uiPriority w:val="47"/>
    <w:locked/>
    <w:rsid w:val="00095532"/>
    <w:pPr>
      <w:spacing w:line="240" w:lineRule="auto"/>
    </w:pPr>
    <w:tblPr>
      <w:tblStyleRowBandSize w:val="1"/>
      <w:tblStyleColBandSize w:val="1"/>
      <w:tblBorders>
        <w:top w:val="single" w:sz="4" w:space="0" w:color="C9C9C9" w:themeColor="accent5" w:themeTint="99"/>
        <w:bottom w:val="single" w:sz="4" w:space="0" w:color="C9C9C9" w:themeColor="accent5" w:themeTint="99"/>
        <w:insideH w:val="single" w:sz="4" w:space="0" w:color="C9C9C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2-Accent6">
    <w:name w:val="List Table 2 Accent 6"/>
    <w:basedOn w:val="TableNormal"/>
    <w:uiPriority w:val="47"/>
    <w:locked/>
    <w:rsid w:val="00095532"/>
    <w:pPr>
      <w:spacing w:line="240" w:lineRule="auto"/>
    </w:pPr>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locked/>
    <w:rsid w:val="00095532"/>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095532"/>
    <w:pPr>
      <w:spacing w:line="240" w:lineRule="auto"/>
    </w:pPr>
    <w:tblPr>
      <w:tblStyleRowBandSize w:val="1"/>
      <w:tblStyleColBandSize w:val="1"/>
      <w:tblBorders>
        <w:top w:val="single" w:sz="4" w:space="0" w:color="231EDC" w:themeColor="accent1"/>
        <w:left w:val="single" w:sz="4" w:space="0" w:color="231EDC" w:themeColor="accent1"/>
        <w:bottom w:val="single" w:sz="4" w:space="0" w:color="231EDC" w:themeColor="accent1"/>
        <w:right w:val="single" w:sz="4" w:space="0" w:color="231EDC" w:themeColor="accent1"/>
      </w:tblBorders>
    </w:tblPr>
    <w:tblStylePr w:type="firstRow">
      <w:rPr>
        <w:b/>
        <w:bCs/>
        <w:color w:val="FFFFFF" w:themeColor="background1"/>
      </w:rPr>
      <w:tblPr/>
      <w:tcPr>
        <w:shd w:val="clear" w:color="auto" w:fill="231EDC" w:themeFill="accent1"/>
      </w:tcPr>
    </w:tblStylePr>
    <w:tblStylePr w:type="lastRow">
      <w:rPr>
        <w:b/>
        <w:bCs/>
      </w:rPr>
      <w:tblPr/>
      <w:tcPr>
        <w:tcBorders>
          <w:top w:val="double" w:sz="4" w:space="0" w:color="231ED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EDC" w:themeColor="accent1"/>
          <w:right w:val="single" w:sz="4" w:space="0" w:color="231EDC" w:themeColor="accent1"/>
        </w:tcBorders>
      </w:tcPr>
    </w:tblStylePr>
    <w:tblStylePr w:type="band1Horz">
      <w:tblPr/>
      <w:tcPr>
        <w:tcBorders>
          <w:top w:val="single" w:sz="4" w:space="0" w:color="231EDC" w:themeColor="accent1"/>
          <w:bottom w:val="single" w:sz="4" w:space="0" w:color="231ED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EDC" w:themeColor="accent1"/>
          <w:left w:val="nil"/>
        </w:tcBorders>
      </w:tcPr>
    </w:tblStylePr>
    <w:tblStylePr w:type="swCell">
      <w:tblPr/>
      <w:tcPr>
        <w:tcBorders>
          <w:top w:val="double" w:sz="4" w:space="0" w:color="231EDC" w:themeColor="accent1"/>
          <w:right w:val="nil"/>
        </w:tcBorders>
      </w:tcPr>
    </w:tblStylePr>
  </w:style>
  <w:style w:type="table" w:styleId="ListTable3-Accent2">
    <w:name w:val="List Table 3 Accent 2"/>
    <w:basedOn w:val="TableNormal"/>
    <w:uiPriority w:val="48"/>
    <w:locked/>
    <w:rsid w:val="00095532"/>
    <w:pPr>
      <w:spacing w:line="240" w:lineRule="auto"/>
    </w:pPr>
    <w:tblPr>
      <w:tblStyleRowBandSize w:val="1"/>
      <w:tblStyleColBandSize w:val="1"/>
      <w:tblBorders>
        <w:top w:val="single" w:sz="4" w:space="0" w:color="0A7DFF" w:themeColor="accent2"/>
        <w:left w:val="single" w:sz="4" w:space="0" w:color="0A7DFF" w:themeColor="accent2"/>
        <w:bottom w:val="single" w:sz="4" w:space="0" w:color="0A7DFF" w:themeColor="accent2"/>
        <w:right w:val="single" w:sz="4" w:space="0" w:color="0A7DFF" w:themeColor="accent2"/>
      </w:tblBorders>
    </w:tblPr>
    <w:tblStylePr w:type="firstRow">
      <w:rPr>
        <w:b/>
        <w:bCs/>
        <w:color w:val="FFFFFF" w:themeColor="background1"/>
      </w:rPr>
      <w:tblPr/>
      <w:tcPr>
        <w:shd w:val="clear" w:color="auto" w:fill="0A7DFF" w:themeFill="accent2"/>
      </w:tcPr>
    </w:tblStylePr>
    <w:tblStylePr w:type="lastRow">
      <w:rPr>
        <w:b/>
        <w:bCs/>
      </w:rPr>
      <w:tblPr/>
      <w:tcPr>
        <w:tcBorders>
          <w:top w:val="double" w:sz="4" w:space="0" w:color="0A7D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7DFF" w:themeColor="accent2"/>
          <w:right w:val="single" w:sz="4" w:space="0" w:color="0A7DFF" w:themeColor="accent2"/>
        </w:tcBorders>
      </w:tcPr>
    </w:tblStylePr>
    <w:tblStylePr w:type="band1Horz">
      <w:tblPr/>
      <w:tcPr>
        <w:tcBorders>
          <w:top w:val="single" w:sz="4" w:space="0" w:color="0A7DFF" w:themeColor="accent2"/>
          <w:bottom w:val="single" w:sz="4" w:space="0" w:color="0A7D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7DFF" w:themeColor="accent2"/>
          <w:left w:val="nil"/>
        </w:tcBorders>
      </w:tcPr>
    </w:tblStylePr>
    <w:tblStylePr w:type="swCell">
      <w:tblPr/>
      <w:tcPr>
        <w:tcBorders>
          <w:top w:val="double" w:sz="4" w:space="0" w:color="0A7DFF" w:themeColor="accent2"/>
          <w:right w:val="nil"/>
        </w:tcBorders>
      </w:tcPr>
    </w:tblStylePr>
  </w:style>
  <w:style w:type="table" w:styleId="ListTable3-Accent3">
    <w:name w:val="List Table 3 Accent 3"/>
    <w:basedOn w:val="TableNormal"/>
    <w:uiPriority w:val="48"/>
    <w:locked/>
    <w:rsid w:val="00095532"/>
    <w:pPr>
      <w:spacing w:line="240" w:lineRule="auto"/>
    </w:pPr>
    <w:tblPr>
      <w:tblStyleRowBandSize w:val="1"/>
      <w:tblStyleColBandSize w:val="1"/>
      <w:tblBorders>
        <w:top w:val="single" w:sz="4" w:space="0" w:color="5AE6FF" w:themeColor="accent3"/>
        <w:left w:val="single" w:sz="4" w:space="0" w:color="5AE6FF" w:themeColor="accent3"/>
        <w:bottom w:val="single" w:sz="4" w:space="0" w:color="5AE6FF" w:themeColor="accent3"/>
        <w:right w:val="single" w:sz="4" w:space="0" w:color="5AE6FF" w:themeColor="accent3"/>
      </w:tblBorders>
    </w:tblPr>
    <w:tblStylePr w:type="firstRow">
      <w:rPr>
        <w:b/>
        <w:bCs/>
        <w:color w:val="FFFFFF" w:themeColor="background1"/>
      </w:rPr>
      <w:tblPr/>
      <w:tcPr>
        <w:shd w:val="clear" w:color="auto" w:fill="5AE6FF" w:themeFill="accent3"/>
      </w:tcPr>
    </w:tblStylePr>
    <w:tblStylePr w:type="lastRow">
      <w:rPr>
        <w:b/>
        <w:bCs/>
      </w:rPr>
      <w:tblPr/>
      <w:tcPr>
        <w:tcBorders>
          <w:top w:val="double" w:sz="4" w:space="0" w:color="5AE6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E6FF" w:themeColor="accent3"/>
          <w:right w:val="single" w:sz="4" w:space="0" w:color="5AE6FF" w:themeColor="accent3"/>
        </w:tcBorders>
      </w:tcPr>
    </w:tblStylePr>
    <w:tblStylePr w:type="band1Horz">
      <w:tblPr/>
      <w:tcPr>
        <w:tcBorders>
          <w:top w:val="single" w:sz="4" w:space="0" w:color="5AE6FF" w:themeColor="accent3"/>
          <w:bottom w:val="single" w:sz="4" w:space="0" w:color="5AE6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E6FF" w:themeColor="accent3"/>
          <w:left w:val="nil"/>
        </w:tcBorders>
      </w:tcPr>
    </w:tblStylePr>
    <w:tblStylePr w:type="swCell">
      <w:tblPr/>
      <w:tcPr>
        <w:tcBorders>
          <w:top w:val="double" w:sz="4" w:space="0" w:color="5AE6FF" w:themeColor="accent3"/>
          <w:right w:val="nil"/>
        </w:tcBorders>
      </w:tcPr>
    </w:tblStylePr>
  </w:style>
  <w:style w:type="table" w:styleId="ListTable3-Accent4">
    <w:name w:val="List Table 3 Accent 4"/>
    <w:basedOn w:val="TableNormal"/>
    <w:uiPriority w:val="48"/>
    <w:locked/>
    <w:rsid w:val="00095532"/>
    <w:pPr>
      <w:spacing w:line="240" w:lineRule="auto"/>
    </w:pPr>
    <w:tblPr>
      <w:tblStyleRowBandSize w:val="1"/>
      <w:tblStyleColBandSize w:val="1"/>
      <w:tblBorders>
        <w:top w:val="single" w:sz="4" w:space="0" w:color="001E55" w:themeColor="accent4"/>
        <w:left w:val="single" w:sz="4" w:space="0" w:color="001E55" w:themeColor="accent4"/>
        <w:bottom w:val="single" w:sz="4" w:space="0" w:color="001E55" w:themeColor="accent4"/>
        <w:right w:val="single" w:sz="4" w:space="0" w:color="001E55" w:themeColor="accent4"/>
      </w:tblBorders>
    </w:tblPr>
    <w:tblStylePr w:type="firstRow">
      <w:rPr>
        <w:b/>
        <w:bCs/>
        <w:color w:val="FFFFFF" w:themeColor="background1"/>
      </w:rPr>
      <w:tblPr/>
      <w:tcPr>
        <w:shd w:val="clear" w:color="auto" w:fill="001E55" w:themeFill="accent4"/>
      </w:tcPr>
    </w:tblStylePr>
    <w:tblStylePr w:type="lastRow">
      <w:rPr>
        <w:b/>
        <w:bCs/>
      </w:rPr>
      <w:tblPr/>
      <w:tcPr>
        <w:tcBorders>
          <w:top w:val="double" w:sz="4" w:space="0" w:color="001E5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E55" w:themeColor="accent4"/>
          <w:right w:val="single" w:sz="4" w:space="0" w:color="001E55" w:themeColor="accent4"/>
        </w:tcBorders>
      </w:tcPr>
    </w:tblStylePr>
    <w:tblStylePr w:type="band1Horz">
      <w:tblPr/>
      <w:tcPr>
        <w:tcBorders>
          <w:top w:val="single" w:sz="4" w:space="0" w:color="001E55" w:themeColor="accent4"/>
          <w:bottom w:val="single" w:sz="4" w:space="0" w:color="001E5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E55" w:themeColor="accent4"/>
          <w:left w:val="nil"/>
        </w:tcBorders>
      </w:tcPr>
    </w:tblStylePr>
    <w:tblStylePr w:type="swCell">
      <w:tblPr/>
      <w:tcPr>
        <w:tcBorders>
          <w:top w:val="double" w:sz="4" w:space="0" w:color="001E55" w:themeColor="accent4"/>
          <w:right w:val="nil"/>
        </w:tcBorders>
      </w:tcPr>
    </w:tblStylePr>
  </w:style>
  <w:style w:type="table" w:styleId="ListTable3-Accent5">
    <w:name w:val="List Table 3 Accent 5"/>
    <w:basedOn w:val="TableNormal"/>
    <w:uiPriority w:val="48"/>
    <w:locked/>
    <w:rsid w:val="00095532"/>
    <w:pPr>
      <w:spacing w:line="240" w:lineRule="auto"/>
    </w:pPr>
    <w:tblPr>
      <w:tblStyleRowBandSize w:val="1"/>
      <w:tblStyleColBandSize w:val="1"/>
      <w:tblBorders>
        <w:top w:val="single" w:sz="4" w:space="0" w:color="A5A5A5" w:themeColor="accent5"/>
        <w:left w:val="single" w:sz="4" w:space="0" w:color="A5A5A5" w:themeColor="accent5"/>
        <w:bottom w:val="single" w:sz="4" w:space="0" w:color="A5A5A5" w:themeColor="accent5"/>
        <w:right w:val="single" w:sz="4" w:space="0" w:color="A5A5A5" w:themeColor="accent5"/>
      </w:tblBorders>
    </w:tblPr>
    <w:tblStylePr w:type="firstRow">
      <w:rPr>
        <w:b/>
        <w:bCs/>
        <w:color w:val="FFFFFF" w:themeColor="background1"/>
      </w:rPr>
      <w:tblPr/>
      <w:tcPr>
        <w:shd w:val="clear" w:color="auto" w:fill="A5A5A5" w:themeFill="accent5"/>
      </w:tcPr>
    </w:tblStylePr>
    <w:tblStylePr w:type="lastRow">
      <w:rPr>
        <w:b/>
        <w:bCs/>
      </w:rPr>
      <w:tblPr/>
      <w:tcPr>
        <w:tcBorders>
          <w:top w:val="double" w:sz="4" w:space="0" w:color="A5A5A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5"/>
          <w:right w:val="single" w:sz="4" w:space="0" w:color="A5A5A5" w:themeColor="accent5"/>
        </w:tcBorders>
      </w:tcPr>
    </w:tblStylePr>
    <w:tblStylePr w:type="band1Horz">
      <w:tblPr/>
      <w:tcPr>
        <w:tcBorders>
          <w:top w:val="single" w:sz="4" w:space="0" w:color="A5A5A5" w:themeColor="accent5"/>
          <w:bottom w:val="single" w:sz="4" w:space="0" w:color="A5A5A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5"/>
          <w:left w:val="nil"/>
        </w:tcBorders>
      </w:tcPr>
    </w:tblStylePr>
    <w:tblStylePr w:type="swCell">
      <w:tblPr/>
      <w:tcPr>
        <w:tcBorders>
          <w:top w:val="double" w:sz="4" w:space="0" w:color="A5A5A5" w:themeColor="accent5"/>
          <w:right w:val="nil"/>
        </w:tcBorders>
      </w:tcPr>
    </w:tblStylePr>
  </w:style>
  <w:style w:type="table" w:styleId="ListTable3-Accent6">
    <w:name w:val="List Table 3 Accent 6"/>
    <w:basedOn w:val="TableNormal"/>
    <w:uiPriority w:val="48"/>
    <w:locked/>
    <w:rsid w:val="00095532"/>
    <w:pPr>
      <w:spacing w:line="240" w:lineRule="auto"/>
    </w:pPr>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locked/>
    <w:rsid w:val="00095532"/>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095532"/>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tcBorders>
        <w:shd w:val="clear" w:color="auto" w:fill="231EDC" w:themeFill="accent1"/>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4-Accent2">
    <w:name w:val="List Table 4 Accent 2"/>
    <w:basedOn w:val="TableNormal"/>
    <w:uiPriority w:val="49"/>
    <w:locked/>
    <w:rsid w:val="00095532"/>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tcBorders>
        <w:shd w:val="clear" w:color="auto" w:fill="0A7DFF" w:themeFill="accent2"/>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4-Accent3">
    <w:name w:val="List Table 4 Accent 3"/>
    <w:basedOn w:val="TableNormal"/>
    <w:uiPriority w:val="49"/>
    <w:locked/>
    <w:rsid w:val="00095532"/>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tcBorders>
        <w:shd w:val="clear" w:color="auto" w:fill="5AE6FF" w:themeFill="accent3"/>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4-Accent4">
    <w:name w:val="List Table 4 Accent 4"/>
    <w:basedOn w:val="TableNormal"/>
    <w:uiPriority w:val="49"/>
    <w:locked/>
    <w:rsid w:val="00095532"/>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tcBorders>
        <w:shd w:val="clear" w:color="auto" w:fill="001E55" w:themeFill="accent4"/>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4-Accent5">
    <w:name w:val="List Table 4 Accent 5"/>
    <w:basedOn w:val="TableNormal"/>
    <w:uiPriority w:val="49"/>
    <w:locked/>
    <w:rsid w:val="00095532"/>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tcBorders>
        <w:shd w:val="clear" w:color="auto" w:fill="A5A5A5" w:themeFill="accent5"/>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4-Accent6">
    <w:name w:val="List Table 4 Accent 6"/>
    <w:basedOn w:val="TableNormal"/>
    <w:uiPriority w:val="49"/>
    <w:locked/>
    <w:rsid w:val="00095532"/>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locked/>
    <w:rsid w:val="00095532"/>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095532"/>
    <w:pPr>
      <w:spacing w:line="240" w:lineRule="auto"/>
    </w:pPr>
    <w:rPr>
      <w:color w:val="FFFFFF" w:themeColor="background1"/>
    </w:rPr>
    <w:tblPr>
      <w:tblStyleRowBandSize w:val="1"/>
      <w:tblStyleColBandSize w:val="1"/>
      <w:tblBorders>
        <w:top w:val="single" w:sz="24" w:space="0" w:color="231EDC" w:themeColor="accent1"/>
        <w:left w:val="single" w:sz="24" w:space="0" w:color="231EDC" w:themeColor="accent1"/>
        <w:bottom w:val="single" w:sz="24" w:space="0" w:color="231EDC" w:themeColor="accent1"/>
        <w:right w:val="single" w:sz="24" w:space="0" w:color="231EDC" w:themeColor="accent1"/>
      </w:tblBorders>
    </w:tblPr>
    <w:tcPr>
      <w:shd w:val="clear" w:color="auto" w:fill="231ED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095532"/>
    <w:pPr>
      <w:spacing w:line="240" w:lineRule="auto"/>
    </w:pPr>
    <w:rPr>
      <w:color w:val="FFFFFF" w:themeColor="background1"/>
    </w:rPr>
    <w:tblPr>
      <w:tblStyleRowBandSize w:val="1"/>
      <w:tblStyleColBandSize w:val="1"/>
      <w:tblBorders>
        <w:top w:val="single" w:sz="24" w:space="0" w:color="0A7DFF" w:themeColor="accent2"/>
        <w:left w:val="single" w:sz="24" w:space="0" w:color="0A7DFF" w:themeColor="accent2"/>
        <w:bottom w:val="single" w:sz="24" w:space="0" w:color="0A7DFF" w:themeColor="accent2"/>
        <w:right w:val="single" w:sz="24" w:space="0" w:color="0A7DFF" w:themeColor="accent2"/>
      </w:tblBorders>
    </w:tblPr>
    <w:tcPr>
      <w:shd w:val="clear" w:color="auto" w:fill="0A7D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095532"/>
    <w:pPr>
      <w:spacing w:line="240" w:lineRule="auto"/>
    </w:pPr>
    <w:rPr>
      <w:color w:val="FFFFFF" w:themeColor="background1"/>
    </w:rPr>
    <w:tblPr>
      <w:tblStyleRowBandSize w:val="1"/>
      <w:tblStyleColBandSize w:val="1"/>
      <w:tblBorders>
        <w:top w:val="single" w:sz="24" w:space="0" w:color="5AE6FF" w:themeColor="accent3"/>
        <w:left w:val="single" w:sz="24" w:space="0" w:color="5AE6FF" w:themeColor="accent3"/>
        <w:bottom w:val="single" w:sz="24" w:space="0" w:color="5AE6FF" w:themeColor="accent3"/>
        <w:right w:val="single" w:sz="24" w:space="0" w:color="5AE6FF" w:themeColor="accent3"/>
      </w:tblBorders>
    </w:tblPr>
    <w:tcPr>
      <w:shd w:val="clear" w:color="auto" w:fill="5AE6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095532"/>
    <w:pPr>
      <w:spacing w:line="240" w:lineRule="auto"/>
    </w:pPr>
    <w:rPr>
      <w:color w:val="FFFFFF" w:themeColor="background1"/>
    </w:rPr>
    <w:tblPr>
      <w:tblStyleRowBandSize w:val="1"/>
      <w:tblStyleColBandSize w:val="1"/>
      <w:tblBorders>
        <w:top w:val="single" w:sz="24" w:space="0" w:color="001E55" w:themeColor="accent4"/>
        <w:left w:val="single" w:sz="24" w:space="0" w:color="001E55" w:themeColor="accent4"/>
        <w:bottom w:val="single" w:sz="24" w:space="0" w:color="001E55" w:themeColor="accent4"/>
        <w:right w:val="single" w:sz="24" w:space="0" w:color="001E55" w:themeColor="accent4"/>
      </w:tblBorders>
    </w:tblPr>
    <w:tcPr>
      <w:shd w:val="clear" w:color="auto" w:fill="001E5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095532"/>
    <w:pPr>
      <w:spacing w:line="240" w:lineRule="auto"/>
    </w:pPr>
    <w:rPr>
      <w:color w:val="FFFFFF" w:themeColor="background1"/>
    </w:rPr>
    <w:tblPr>
      <w:tblStyleRowBandSize w:val="1"/>
      <w:tblStyleColBandSize w:val="1"/>
      <w:tblBorders>
        <w:top w:val="single" w:sz="24" w:space="0" w:color="A5A5A5" w:themeColor="accent5"/>
        <w:left w:val="single" w:sz="24" w:space="0" w:color="A5A5A5" w:themeColor="accent5"/>
        <w:bottom w:val="single" w:sz="24" w:space="0" w:color="A5A5A5" w:themeColor="accent5"/>
        <w:right w:val="single" w:sz="24" w:space="0" w:color="A5A5A5" w:themeColor="accent5"/>
      </w:tblBorders>
    </w:tblPr>
    <w:tcPr>
      <w:shd w:val="clear" w:color="auto" w:fill="A5A5A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095532"/>
    <w:pPr>
      <w:spacing w:line="240" w:lineRule="auto"/>
    </w:pPr>
    <w:rPr>
      <w:color w:val="FFFFFF" w:themeColor="background1"/>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095532"/>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095532"/>
    <w:pPr>
      <w:spacing w:line="240" w:lineRule="auto"/>
    </w:pPr>
    <w:rPr>
      <w:color w:val="1916A4" w:themeColor="accent1" w:themeShade="BF"/>
    </w:rPr>
    <w:tblPr>
      <w:tblStyleRowBandSize w:val="1"/>
      <w:tblStyleColBandSize w:val="1"/>
      <w:tblBorders>
        <w:top w:val="single" w:sz="4" w:space="0" w:color="231EDC" w:themeColor="accent1"/>
        <w:bottom w:val="single" w:sz="4" w:space="0" w:color="231EDC" w:themeColor="accent1"/>
      </w:tblBorders>
    </w:tblPr>
    <w:tblStylePr w:type="firstRow">
      <w:rPr>
        <w:b/>
        <w:bCs/>
      </w:rPr>
      <w:tblPr/>
      <w:tcPr>
        <w:tcBorders>
          <w:bottom w:val="single" w:sz="4" w:space="0" w:color="231EDC" w:themeColor="accent1"/>
        </w:tcBorders>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6Colorful-Accent2">
    <w:name w:val="List Table 6 Colorful Accent 2"/>
    <w:basedOn w:val="TableNormal"/>
    <w:uiPriority w:val="51"/>
    <w:locked/>
    <w:rsid w:val="00095532"/>
    <w:pPr>
      <w:spacing w:line="240" w:lineRule="auto"/>
    </w:pPr>
    <w:rPr>
      <w:color w:val="005CC6" w:themeColor="accent2" w:themeShade="BF"/>
    </w:rPr>
    <w:tblPr>
      <w:tblStyleRowBandSize w:val="1"/>
      <w:tblStyleColBandSize w:val="1"/>
      <w:tblBorders>
        <w:top w:val="single" w:sz="4" w:space="0" w:color="0A7DFF" w:themeColor="accent2"/>
        <w:bottom w:val="single" w:sz="4" w:space="0" w:color="0A7DFF" w:themeColor="accent2"/>
      </w:tblBorders>
    </w:tblPr>
    <w:tblStylePr w:type="firstRow">
      <w:rPr>
        <w:b/>
        <w:bCs/>
      </w:rPr>
      <w:tblPr/>
      <w:tcPr>
        <w:tcBorders>
          <w:bottom w:val="single" w:sz="4" w:space="0" w:color="0A7DFF" w:themeColor="accent2"/>
        </w:tcBorders>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6Colorful-Accent3">
    <w:name w:val="List Table 6 Colorful Accent 3"/>
    <w:basedOn w:val="TableNormal"/>
    <w:uiPriority w:val="51"/>
    <w:locked/>
    <w:rsid w:val="00095532"/>
    <w:pPr>
      <w:spacing w:line="240" w:lineRule="auto"/>
    </w:pPr>
    <w:rPr>
      <w:color w:val="03D8FF" w:themeColor="accent3" w:themeShade="BF"/>
    </w:rPr>
    <w:tblPr>
      <w:tblStyleRowBandSize w:val="1"/>
      <w:tblStyleColBandSize w:val="1"/>
      <w:tblBorders>
        <w:top w:val="single" w:sz="4" w:space="0" w:color="5AE6FF" w:themeColor="accent3"/>
        <w:bottom w:val="single" w:sz="4" w:space="0" w:color="5AE6FF" w:themeColor="accent3"/>
      </w:tblBorders>
    </w:tblPr>
    <w:tblStylePr w:type="firstRow">
      <w:rPr>
        <w:b/>
        <w:bCs/>
      </w:rPr>
      <w:tblPr/>
      <w:tcPr>
        <w:tcBorders>
          <w:bottom w:val="single" w:sz="4" w:space="0" w:color="5AE6FF" w:themeColor="accent3"/>
        </w:tcBorders>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6Colorful-Accent4">
    <w:name w:val="List Table 6 Colorful Accent 4"/>
    <w:basedOn w:val="TableNormal"/>
    <w:uiPriority w:val="51"/>
    <w:locked/>
    <w:rsid w:val="00095532"/>
    <w:pPr>
      <w:spacing w:line="240" w:lineRule="auto"/>
    </w:pPr>
    <w:rPr>
      <w:color w:val="00163F" w:themeColor="accent4" w:themeShade="BF"/>
    </w:rPr>
    <w:tblPr>
      <w:tblStyleRowBandSize w:val="1"/>
      <w:tblStyleColBandSize w:val="1"/>
      <w:tblBorders>
        <w:top w:val="single" w:sz="4" w:space="0" w:color="001E55" w:themeColor="accent4"/>
        <w:bottom w:val="single" w:sz="4" w:space="0" w:color="001E55" w:themeColor="accent4"/>
      </w:tblBorders>
    </w:tblPr>
    <w:tblStylePr w:type="firstRow">
      <w:rPr>
        <w:b/>
        <w:bCs/>
      </w:rPr>
      <w:tblPr/>
      <w:tcPr>
        <w:tcBorders>
          <w:bottom w:val="single" w:sz="4" w:space="0" w:color="001E55" w:themeColor="accent4"/>
        </w:tcBorders>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6Colorful-Accent5">
    <w:name w:val="List Table 6 Colorful Accent 5"/>
    <w:basedOn w:val="TableNormal"/>
    <w:uiPriority w:val="51"/>
    <w:locked/>
    <w:rsid w:val="00095532"/>
    <w:pPr>
      <w:spacing w:line="240" w:lineRule="auto"/>
    </w:pPr>
    <w:rPr>
      <w:color w:val="7B7B7B" w:themeColor="accent5" w:themeShade="BF"/>
    </w:rPr>
    <w:tblPr>
      <w:tblStyleRowBandSize w:val="1"/>
      <w:tblStyleColBandSize w:val="1"/>
      <w:tblBorders>
        <w:top w:val="single" w:sz="4" w:space="0" w:color="A5A5A5" w:themeColor="accent5"/>
        <w:bottom w:val="single" w:sz="4" w:space="0" w:color="A5A5A5" w:themeColor="accent5"/>
      </w:tblBorders>
    </w:tblPr>
    <w:tblStylePr w:type="firstRow">
      <w:rPr>
        <w:b/>
        <w:bCs/>
      </w:rPr>
      <w:tblPr/>
      <w:tcPr>
        <w:tcBorders>
          <w:bottom w:val="single" w:sz="4" w:space="0" w:color="A5A5A5" w:themeColor="accent5"/>
        </w:tcBorders>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6Colorful-Accent6">
    <w:name w:val="List Table 6 Colorful Accent 6"/>
    <w:basedOn w:val="TableNormal"/>
    <w:uiPriority w:val="51"/>
    <w:locked/>
    <w:rsid w:val="00095532"/>
    <w:pPr>
      <w:spacing w:line="240" w:lineRule="auto"/>
    </w:pPr>
    <w:rPr>
      <w:color w:val="959595" w:themeColor="accent6" w:themeShade="BF"/>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locked/>
    <w:rsid w:val="0009553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095532"/>
    <w:pPr>
      <w:spacing w:line="240" w:lineRule="auto"/>
    </w:pPr>
    <w:rPr>
      <w:color w:val="1916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ED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ED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ED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EDC" w:themeColor="accent1"/>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095532"/>
    <w:pPr>
      <w:spacing w:line="240" w:lineRule="auto"/>
    </w:pPr>
    <w:rPr>
      <w:color w:val="005CC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7D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7D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7D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7DFF" w:themeColor="accent2"/>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095532"/>
    <w:pPr>
      <w:spacing w:line="240" w:lineRule="auto"/>
    </w:pPr>
    <w:rPr>
      <w:color w:val="03D8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E6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E6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E6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E6FF" w:themeColor="accent3"/>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095532"/>
    <w:pPr>
      <w:spacing w:line="240" w:lineRule="auto"/>
    </w:pPr>
    <w:rPr>
      <w:color w:val="00163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1E5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1E5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1E5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1E55" w:themeColor="accent4"/>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095532"/>
    <w:pPr>
      <w:spacing w:line="240" w:lineRule="auto"/>
    </w:pPr>
    <w:rPr>
      <w:color w:val="7B7B7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5"/>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095532"/>
    <w:pPr>
      <w:spacing w:line="240" w:lineRule="auto"/>
    </w:pPr>
    <w:rPr>
      <w:color w:val="95959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locked/>
    <w:rsid w:val="00095532"/>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nsolas" w:hAnsi="Consolas"/>
    </w:rPr>
  </w:style>
  <w:style w:type="character" w:customStyle="1" w:styleId="MacroTextChar">
    <w:name w:val="Macro Text Char"/>
    <w:basedOn w:val="DefaultParagraphFont"/>
    <w:link w:val="MacroText"/>
    <w:uiPriority w:val="99"/>
    <w:semiHidden/>
    <w:rsid w:val="00095532"/>
    <w:rPr>
      <w:rFonts w:ascii="Consolas" w:hAnsi="Consolas"/>
    </w:rPr>
  </w:style>
  <w:style w:type="table" w:styleId="MediumGrid1">
    <w:name w:val="Medium Grid 1"/>
    <w:basedOn w:val="TableNormal"/>
    <w:uiPriority w:val="67"/>
    <w:semiHidden/>
    <w:unhideWhenUsed/>
    <w:locked/>
    <w:rsid w:val="0009553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locked/>
    <w:rsid w:val="00095532"/>
    <w:pPr>
      <w:spacing w:line="240" w:lineRule="auto"/>
    </w:pPr>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insideV w:val="single" w:sz="8" w:space="0" w:color="5653E7" w:themeColor="accent1" w:themeTint="BF"/>
      </w:tblBorders>
    </w:tblPr>
    <w:tcPr>
      <w:shd w:val="clear" w:color="auto" w:fill="C7C6F7" w:themeFill="accent1" w:themeFillTint="3F"/>
    </w:tcPr>
    <w:tblStylePr w:type="firstRow">
      <w:rPr>
        <w:b/>
        <w:bCs/>
      </w:rPr>
    </w:tblStylePr>
    <w:tblStylePr w:type="lastRow">
      <w:rPr>
        <w:b/>
        <w:bCs/>
      </w:rPr>
      <w:tblPr/>
      <w:tcPr>
        <w:tcBorders>
          <w:top w:val="single" w:sz="18" w:space="0" w:color="5653E7" w:themeColor="accent1" w:themeTint="BF"/>
        </w:tcBorders>
      </w:tcPr>
    </w:tblStylePr>
    <w:tblStylePr w:type="firstCol">
      <w:rPr>
        <w:b/>
        <w:bCs/>
      </w:rPr>
    </w:tblStylePr>
    <w:tblStylePr w:type="lastCol">
      <w:rPr>
        <w:b/>
        <w:bCs/>
      </w:r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MediumGrid1-Accent2">
    <w:name w:val="Medium Grid 1 Accent 2"/>
    <w:basedOn w:val="TableNormal"/>
    <w:uiPriority w:val="67"/>
    <w:semiHidden/>
    <w:unhideWhenUsed/>
    <w:locked/>
    <w:rsid w:val="00095532"/>
    <w:pPr>
      <w:spacing w:line="240" w:lineRule="auto"/>
    </w:pPr>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insideV w:val="single" w:sz="8" w:space="0" w:color="479DFF" w:themeColor="accent2" w:themeTint="BF"/>
      </w:tblBorders>
    </w:tblPr>
    <w:tcPr>
      <w:shd w:val="clear" w:color="auto" w:fill="C2DEFF" w:themeFill="accent2" w:themeFillTint="3F"/>
    </w:tcPr>
    <w:tblStylePr w:type="firstRow">
      <w:rPr>
        <w:b/>
        <w:bCs/>
      </w:rPr>
    </w:tblStylePr>
    <w:tblStylePr w:type="lastRow">
      <w:rPr>
        <w:b/>
        <w:bCs/>
      </w:rPr>
      <w:tblPr/>
      <w:tcPr>
        <w:tcBorders>
          <w:top w:val="single" w:sz="18" w:space="0" w:color="479DFF" w:themeColor="accent2" w:themeTint="BF"/>
        </w:tcBorders>
      </w:tcPr>
    </w:tblStylePr>
    <w:tblStylePr w:type="firstCol">
      <w:rPr>
        <w:b/>
        <w:bCs/>
      </w:rPr>
    </w:tblStylePr>
    <w:tblStylePr w:type="lastCol">
      <w:rPr>
        <w:b/>
        <w:bCs/>
      </w:r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MediumGrid1-Accent3">
    <w:name w:val="Medium Grid 1 Accent 3"/>
    <w:basedOn w:val="TableNormal"/>
    <w:uiPriority w:val="67"/>
    <w:semiHidden/>
    <w:unhideWhenUsed/>
    <w:locked/>
    <w:rsid w:val="00095532"/>
    <w:pPr>
      <w:spacing w:line="240" w:lineRule="auto"/>
    </w:pPr>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insideV w:val="single" w:sz="8" w:space="0" w:color="83ECFF" w:themeColor="accent3" w:themeTint="BF"/>
      </w:tblBorders>
    </w:tblPr>
    <w:tcPr>
      <w:shd w:val="clear" w:color="auto" w:fill="D6F8FF" w:themeFill="accent3" w:themeFillTint="3F"/>
    </w:tcPr>
    <w:tblStylePr w:type="firstRow">
      <w:rPr>
        <w:b/>
        <w:bCs/>
      </w:rPr>
    </w:tblStylePr>
    <w:tblStylePr w:type="lastRow">
      <w:rPr>
        <w:b/>
        <w:bCs/>
      </w:rPr>
      <w:tblPr/>
      <w:tcPr>
        <w:tcBorders>
          <w:top w:val="single" w:sz="18" w:space="0" w:color="83ECFF" w:themeColor="accent3" w:themeTint="BF"/>
        </w:tcBorders>
      </w:tcPr>
    </w:tblStylePr>
    <w:tblStylePr w:type="firstCol">
      <w:rPr>
        <w:b/>
        <w:bCs/>
      </w:rPr>
    </w:tblStylePr>
    <w:tblStylePr w:type="lastCol">
      <w:rPr>
        <w:b/>
        <w:bCs/>
      </w:r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MediumGrid1-Accent4">
    <w:name w:val="Medium Grid 1 Accent 4"/>
    <w:basedOn w:val="TableNormal"/>
    <w:uiPriority w:val="67"/>
    <w:semiHidden/>
    <w:unhideWhenUsed/>
    <w:locked/>
    <w:rsid w:val="00095532"/>
    <w:pPr>
      <w:spacing w:line="240" w:lineRule="auto"/>
    </w:pPr>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insideV w:val="single" w:sz="8" w:space="0" w:color="0043BF" w:themeColor="accent4" w:themeTint="BF"/>
      </w:tblBorders>
    </w:tblPr>
    <w:tcPr>
      <w:shd w:val="clear" w:color="auto" w:fill="96BBFF" w:themeFill="accent4" w:themeFillTint="3F"/>
    </w:tcPr>
    <w:tblStylePr w:type="firstRow">
      <w:rPr>
        <w:b/>
        <w:bCs/>
      </w:rPr>
    </w:tblStylePr>
    <w:tblStylePr w:type="lastRow">
      <w:rPr>
        <w:b/>
        <w:bCs/>
      </w:rPr>
      <w:tblPr/>
      <w:tcPr>
        <w:tcBorders>
          <w:top w:val="single" w:sz="18" w:space="0" w:color="0043BF" w:themeColor="accent4" w:themeTint="BF"/>
        </w:tcBorders>
      </w:tcPr>
    </w:tblStylePr>
    <w:tblStylePr w:type="firstCol">
      <w:rPr>
        <w:b/>
        <w:bCs/>
      </w:rPr>
    </w:tblStylePr>
    <w:tblStylePr w:type="lastCol">
      <w:rPr>
        <w:b/>
        <w:bCs/>
      </w:r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MediumGrid1-Accent5">
    <w:name w:val="Medium Grid 1 Accent 5"/>
    <w:basedOn w:val="TableNormal"/>
    <w:uiPriority w:val="67"/>
    <w:semiHidden/>
    <w:unhideWhenUsed/>
    <w:locked/>
    <w:rsid w:val="00095532"/>
    <w:pPr>
      <w:spacing w:line="240" w:lineRule="auto"/>
    </w:p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insideV w:val="single" w:sz="8" w:space="0" w:color="BBBBBB" w:themeColor="accent5" w:themeTint="BF"/>
      </w:tblBorders>
    </w:tblPr>
    <w:tcPr>
      <w:shd w:val="clear" w:color="auto" w:fill="E8E8E8" w:themeFill="accent5" w:themeFillTint="3F"/>
    </w:tcPr>
    <w:tblStylePr w:type="firstRow">
      <w:rPr>
        <w:b/>
        <w:bCs/>
      </w:rPr>
    </w:tblStylePr>
    <w:tblStylePr w:type="lastRow">
      <w:rPr>
        <w:b/>
        <w:bCs/>
      </w:rPr>
      <w:tblPr/>
      <w:tcPr>
        <w:tcBorders>
          <w:top w:val="single" w:sz="18" w:space="0" w:color="BBBBBB" w:themeColor="accent5" w:themeTint="BF"/>
        </w:tcBorders>
      </w:tcPr>
    </w:tblStylePr>
    <w:tblStylePr w:type="firstCol">
      <w:rPr>
        <w:b/>
        <w:bCs/>
      </w:rPr>
    </w:tblStylePr>
    <w:tblStylePr w:type="lastCol">
      <w:rPr>
        <w:b/>
        <w:bCs/>
      </w:r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MediumGrid1-Accent6">
    <w:name w:val="Medium Grid 1 Accent 6"/>
    <w:basedOn w:val="TableNormal"/>
    <w:uiPriority w:val="67"/>
    <w:semiHidden/>
    <w:unhideWhenUsed/>
    <w:locked/>
    <w:rsid w:val="00095532"/>
    <w:pPr>
      <w:spacing w:line="240" w:lineRule="auto"/>
    </w:p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cPr>
      <w:shd w:val="clear" w:color="auto" w:fill="C7C6F7" w:themeFill="accent1" w:themeFillTint="3F"/>
    </w:tcPr>
    <w:tblStylePr w:type="firstRow">
      <w:rPr>
        <w:b/>
        <w:bCs/>
        <w:color w:val="000000" w:themeColor="text1"/>
      </w:rPr>
      <w:tblPr/>
      <w:tcPr>
        <w:shd w:val="clear" w:color="auto" w:fill="E8E8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D1F8" w:themeFill="accent1" w:themeFillTint="33"/>
      </w:tcPr>
    </w:tblStylePr>
    <w:tblStylePr w:type="band1Vert">
      <w:tblPr/>
      <w:tcPr>
        <w:shd w:val="clear" w:color="auto" w:fill="8F8CEF" w:themeFill="accent1" w:themeFillTint="7F"/>
      </w:tcPr>
    </w:tblStylePr>
    <w:tblStylePr w:type="band1Horz">
      <w:tblPr/>
      <w:tcPr>
        <w:tcBorders>
          <w:insideH w:val="single" w:sz="6" w:space="0" w:color="231EDC" w:themeColor="accent1"/>
          <w:insideV w:val="single" w:sz="6" w:space="0" w:color="231EDC" w:themeColor="accent1"/>
        </w:tcBorders>
        <w:shd w:val="clear" w:color="auto" w:fill="8F8C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cPr>
      <w:shd w:val="clear" w:color="auto" w:fill="C2DEFF" w:themeFill="accent2" w:themeFillTint="3F"/>
    </w:tcPr>
    <w:tblStylePr w:type="firstRow">
      <w:rPr>
        <w:b/>
        <w:bCs/>
        <w:color w:val="000000" w:themeColor="text1"/>
      </w:rPr>
      <w:tblPr/>
      <w:tcPr>
        <w:shd w:val="clear" w:color="auto" w:fill="E6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4FF" w:themeFill="accent2" w:themeFillTint="33"/>
      </w:tcPr>
    </w:tblStylePr>
    <w:tblStylePr w:type="band1Vert">
      <w:tblPr/>
      <w:tcPr>
        <w:shd w:val="clear" w:color="auto" w:fill="84BDFF" w:themeFill="accent2" w:themeFillTint="7F"/>
      </w:tcPr>
    </w:tblStylePr>
    <w:tblStylePr w:type="band1Horz">
      <w:tblPr/>
      <w:tcPr>
        <w:tcBorders>
          <w:insideH w:val="single" w:sz="6" w:space="0" w:color="0A7DFF" w:themeColor="accent2"/>
          <w:insideV w:val="single" w:sz="6" w:space="0" w:color="0A7DFF" w:themeColor="accent2"/>
        </w:tcBorders>
        <w:shd w:val="clear" w:color="auto" w:fill="84B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cPr>
      <w:shd w:val="clear" w:color="auto" w:fill="D6F8FF" w:themeFill="accent3" w:themeFillTint="3F"/>
    </w:tcPr>
    <w:tblStylePr w:type="firstRow">
      <w:rPr>
        <w:b/>
        <w:bCs/>
        <w:color w:val="000000" w:themeColor="text1"/>
      </w:rPr>
      <w:tblPr/>
      <w:tcPr>
        <w:shd w:val="clear" w:color="auto" w:fill="EEFC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9FF" w:themeFill="accent3" w:themeFillTint="33"/>
      </w:tcPr>
    </w:tblStylePr>
    <w:tblStylePr w:type="band1Vert">
      <w:tblPr/>
      <w:tcPr>
        <w:shd w:val="clear" w:color="auto" w:fill="ACF2FF" w:themeFill="accent3" w:themeFillTint="7F"/>
      </w:tcPr>
    </w:tblStylePr>
    <w:tblStylePr w:type="band1Horz">
      <w:tblPr/>
      <w:tcPr>
        <w:tcBorders>
          <w:insideH w:val="single" w:sz="6" w:space="0" w:color="5AE6FF" w:themeColor="accent3"/>
          <w:insideV w:val="single" w:sz="6" w:space="0" w:color="5AE6FF" w:themeColor="accent3"/>
        </w:tcBorders>
        <w:shd w:val="clear" w:color="auto" w:fill="ACF2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cPr>
      <w:shd w:val="clear" w:color="auto" w:fill="96BBFF" w:themeFill="accent4" w:themeFillTint="3F"/>
    </w:tcPr>
    <w:tblStylePr w:type="firstRow">
      <w:rPr>
        <w:b/>
        <w:bCs/>
        <w:color w:val="000000" w:themeColor="text1"/>
      </w:rPr>
      <w:tblPr/>
      <w:tcPr>
        <w:shd w:val="clear" w:color="auto" w:fill="D5E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C8FF" w:themeFill="accent4" w:themeFillTint="33"/>
      </w:tcPr>
    </w:tblStylePr>
    <w:tblStylePr w:type="band1Vert">
      <w:tblPr/>
      <w:tcPr>
        <w:shd w:val="clear" w:color="auto" w:fill="2B76FF" w:themeFill="accent4" w:themeFillTint="7F"/>
      </w:tcPr>
    </w:tblStylePr>
    <w:tblStylePr w:type="band1Horz">
      <w:tblPr/>
      <w:tcPr>
        <w:tcBorders>
          <w:insideH w:val="single" w:sz="6" w:space="0" w:color="001E55" w:themeColor="accent4"/>
          <w:insideV w:val="single" w:sz="6" w:space="0" w:color="001E55" w:themeColor="accent4"/>
        </w:tcBorders>
        <w:shd w:val="clear" w:color="auto" w:fill="2B76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cPr>
      <w:shd w:val="clear" w:color="auto" w:fill="E8E8E8" w:themeFill="accent5" w:themeFillTint="3F"/>
    </w:tcPr>
    <w:tblStylePr w:type="firstRow">
      <w:rPr>
        <w:b/>
        <w:bCs/>
        <w:color w:val="000000" w:themeColor="text1"/>
      </w:rPr>
      <w:tblPr/>
      <w:tcPr>
        <w:shd w:val="clear" w:color="auto" w:fill="F6F6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5" w:themeFillTint="33"/>
      </w:tcPr>
    </w:tblStylePr>
    <w:tblStylePr w:type="band1Vert">
      <w:tblPr/>
      <w:tcPr>
        <w:shd w:val="clear" w:color="auto" w:fill="D2D2D2" w:themeFill="accent5" w:themeFillTint="7F"/>
      </w:tcPr>
    </w:tblStylePr>
    <w:tblStylePr w:type="band1Horz">
      <w:tblPr/>
      <w:tcPr>
        <w:tcBorders>
          <w:insideH w:val="single" w:sz="6" w:space="0" w:color="A5A5A5" w:themeColor="accent5"/>
          <w:insideV w:val="single" w:sz="6" w:space="0" w:color="A5A5A5" w:themeColor="accent5"/>
        </w:tcBorders>
        <w:shd w:val="clear" w:color="auto" w:fill="D2D2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6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E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E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8C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8CEF" w:themeFill="accent1" w:themeFillTint="7F"/>
      </w:tcPr>
    </w:tblStylePr>
  </w:style>
  <w:style w:type="table" w:styleId="MediumGrid3-Accent2">
    <w:name w:val="Medium Grid 3 Accent 2"/>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7D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7D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4B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4BDFF" w:themeFill="accent2" w:themeFillTint="7F"/>
      </w:tcPr>
    </w:tblStylePr>
  </w:style>
  <w:style w:type="table" w:styleId="MediumGrid3-Accent3">
    <w:name w:val="Medium Grid 3 Accent 3"/>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8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E6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E6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F2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F2FF" w:themeFill="accent3" w:themeFillTint="7F"/>
      </w:tcPr>
    </w:tblStylePr>
  </w:style>
  <w:style w:type="table" w:styleId="MediumGrid3-Accent4">
    <w:name w:val="Medium Grid 3 Accent 4"/>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B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1E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1E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76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76FF" w:themeFill="accent4" w:themeFillTint="7F"/>
      </w:tcPr>
    </w:tblStylePr>
  </w:style>
  <w:style w:type="table" w:styleId="MediumGrid3-Accent5">
    <w:name w:val="Medium Grid 3 Accent 5"/>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5" w:themeFillTint="7F"/>
      </w:tcPr>
    </w:tblStylePr>
  </w:style>
  <w:style w:type="table" w:styleId="MediumGrid3-Accent6">
    <w:name w:val="Medium Grid 3 Accent 6"/>
    <w:basedOn w:val="TableNormal"/>
    <w:uiPriority w:val="69"/>
    <w:semiHidden/>
    <w:unhideWhenUsed/>
    <w:locked/>
    <w:rsid w:val="0009553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231EDC" w:themeColor="accent1"/>
        <w:bottom w:val="single" w:sz="8" w:space="0" w:color="231EDC" w:themeColor="accent1"/>
      </w:tblBorders>
    </w:tblPr>
    <w:tblStylePr w:type="firstRow">
      <w:rPr>
        <w:rFonts w:asciiTheme="majorHAnsi" w:eastAsiaTheme="majorEastAsia" w:hAnsiTheme="majorHAnsi" w:cstheme="majorBidi"/>
      </w:rPr>
      <w:tblPr/>
      <w:tcPr>
        <w:tcBorders>
          <w:top w:val="nil"/>
          <w:bottom w:val="single" w:sz="8" w:space="0" w:color="231EDC" w:themeColor="accent1"/>
        </w:tcBorders>
      </w:tcPr>
    </w:tblStylePr>
    <w:tblStylePr w:type="lastRow">
      <w:rPr>
        <w:b/>
        <w:bCs/>
        <w:color w:val="333333" w:themeColor="text2"/>
      </w:rPr>
      <w:tblPr/>
      <w:tcPr>
        <w:tcBorders>
          <w:top w:val="single" w:sz="8" w:space="0" w:color="231EDC" w:themeColor="accent1"/>
          <w:bottom w:val="single" w:sz="8" w:space="0" w:color="231EDC" w:themeColor="accent1"/>
        </w:tcBorders>
      </w:tcPr>
    </w:tblStylePr>
    <w:tblStylePr w:type="firstCol">
      <w:rPr>
        <w:b/>
        <w:bCs/>
      </w:rPr>
    </w:tblStylePr>
    <w:tblStylePr w:type="lastCol">
      <w:rPr>
        <w:b/>
        <w:bCs/>
      </w:rPr>
      <w:tblPr/>
      <w:tcPr>
        <w:tcBorders>
          <w:top w:val="single" w:sz="8" w:space="0" w:color="231EDC" w:themeColor="accent1"/>
          <w:bottom w:val="single" w:sz="8" w:space="0" w:color="231EDC" w:themeColor="accent1"/>
        </w:tcBorders>
      </w:tcPr>
    </w:tblStylePr>
    <w:tblStylePr w:type="band1Vert">
      <w:tblPr/>
      <w:tcPr>
        <w:shd w:val="clear" w:color="auto" w:fill="C7C6F7" w:themeFill="accent1" w:themeFillTint="3F"/>
      </w:tcPr>
    </w:tblStylePr>
    <w:tblStylePr w:type="band1Horz">
      <w:tblPr/>
      <w:tcPr>
        <w:shd w:val="clear" w:color="auto" w:fill="C7C6F7" w:themeFill="accent1" w:themeFillTint="3F"/>
      </w:tcPr>
    </w:tblStylePr>
  </w:style>
  <w:style w:type="table" w:styleId="MediumList1-Accent2">
    <w:name w:val="Medium List 1 Accent 2"/>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0A7DFF" w:themeColor="accent2"/>
        <w:bottom w:val="single" w:sz="8" w:space="0" w:color="0A7DFF" w:themeColor="accent2"/>
      </w:tblBorders>
    </w:tblPr>
    <w:tblStylePr w:type="firstRow">
      <w:rPr>
        <w:rFonts w:asciiTheme="majorHAnsi" w:eastAsiaTheme="majorEastAsia" w:hAnsiTheme="majorHAnsi" w:cstheme="majorBidi"/>
      </w:rPr>
      <w:tblPr/>
      <w:tcPr>
        <w:tcBorders>
          <w:top w:val="nil"/>
          <w:bottom w:val="single" w:sz="8" w:space="0" w:color="0A7DFF" w:themeColor="accent2"/>
        </w:tcBorders>
      </w:tcPr>
    </w:tblStylePr>
    <w:tblStylePr w:type="lastRow">
      <w:rPr>
        <w:b/>
        <w:bCs/>
        <w:color w:val="333333" w:themeColor="text2"/>
      </w:rPr>
      <w:tblPr/>
      <w:tcPr>
        <w:tcBorders>
          <w:top w:val="single" w:sz="8" w:space="0" w:color="0A7DFF" w:themeColor="accent2"/>
          <w:bottom w:val="single" w:sz="8" w:space="0" w:color="0A7DFF" w:themeColor="accent2"/>
        </w:tcBorders>
      </w:tcPr>
    </w:tblStylePr>
    <w:tblStylePr w:type="firstCol">
      <w:rPr>
        <w:b/>
        <w:bCs/>
      </w:rPr>
    </w:tblStylePr>
    <w:tblStylePr w:type="lastCol">
      <w:rPr>
        <w:b/>
        <w:bCs/>
      </w:rPr>
      <w:tblPr/>
      <w:tcPr>
        <w:tcBorders>
          <w:top w:val="single" w:sz="8" w:space="0" w:color="0A7DFF" w:themeColor="accent2"/>
          <w:bottom w:val="single" w:sz="8" w:space="0" w:color="0A7DFF" w:themeColor="accent2"/>
        </w:tcBorders>
      </w:tcPr>
    </w:tblStylePr>
    <w:tblStylePr w:type="band1Vert">
      <w:tblPr/>
      <w:tcPr>
        <w:shd w:val="clear" w:color="auto" w:fill="C2DEFF" w:themeFill="accent2" w:themeFillTint="3F"/>
      </w:tcPr>
    </w:tblStylePr>
    <w:tblStylePr w:type="band1Horz">
      <w:tblPr/>
      <w:tcPr>
        <w:shd w:val="clear" w:color="auto" w:fill="C2DEFF" w:themeFill="accent2" w:themeFillTint="3F"/>
      </w:tcPr>
    </w:tblStylePr>
  </w:style>
  <w:style w:type="table" w:styleId="MediumList1-Accent3">
    <w:name w:val="Medium List 1 Accent 3"/>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5AE6FF" w:themeColor="accent3"/>
        <w:bottom w:val="single" w:sz="8" w:space="0" w:color="5AE6FF" w:themeColor="accent3"/>
      </w:tblBorders>
    </w:tblPr>
    <w:tblStylePr w:type="firstRow">
      <w:rPr>
        <w:rFonts w:asciiTheme="majorHAnsi" w:eastAsiaTheme="majorEastAsia" w:hAnsiTheme="majorHAnsi" w:cstheme="majorBidi"/>
      </w:rPr>
      <w:tblPr/>
      <w:tcPr>
        <w:tcBorders>
          <w:top w:val="nil"/>
          <w:bottom w:val="single" w:sz="8" w:space="0" w:color="5AE6FF" w:themeColor="accent3"/>
        </w:tcBorders>
      </w:tcPr>
    </w:tblStylePr>
    <w:tblStylePr w:type="lastRow">
      <w:rPr>
        <w:b/>
        <w:bCs/>
        <w:color w:val="333333" w:themeColor="text2"/>
      </w:rPr>
      <w:tblPr/>
      <w:tcPr>
        <w:tcBorders>
          <w:top w:val="single" w:sz="8" w:space="0" w:color="5AE6FF" w:themeColor="accent3"/>
          <w:bottom w:val="single" w:sz="8" w:space="0" w:color="5AE6FF" w:themeColor="accent3"/>
        </w:tcBorders>
      </w:tcPr>
    </w:tblStylePr>
    <w:tblStylePr w:type="firstCol">
      <w:rPr>
        <w:b/>
        <w:bCs/>
      </w:rPr>
    </w:tblStylePr>
    <w:tblStylePr w:type="lastCol">
      <w:rPr>
        <w:b/>
        <w:bCs/>
      </w:rPr>
      <w:tblPr/>
      <w:tcPr>
        <w:tcBorders>
          <w:top w:val="single" w:sz="8" w:space="0" w:color="5AE6FF" w:themeColor="accent3"/>
          <w:bottom w:val="single" w:sz="8" w:space="0" w:color="5AE6FF" w:themeColor="accent3"/>
        </w:tcBorders>
      </w:tcPr>
    </w:tblStylePr>
    <w:tblStylePr w:type="band1Vert">
      <w:tblPr/>
      <w:tcPr>
        <w:shd w:val="clear" w:color="auto" w:fill="D6F8FF" w:themeFill="accent3" w:themeFillTint="3F"/>
      </w:tcPr>
    </w:tblStylePr>
    <w:tblStylePr w:type="band1Horz">
      <w:tblPr/>
      <w:tcPr>
        <w:shd w:val="clear" w:color="auto" w:fill="D6F8FF" w:themeFill="accent3" w:themeFillTint="3F"/>
      </w:tcPr>
    </w:tblStylePr>
  </w:style>
  <w:style w:type="table" w:styleId="MediumList1-Accent4">
    <w:name w:val="Medium List 1 Accent 4"/>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001E55" w:themeColor="accent4"/>
        <w:bottom w:val="single" w:sz="8" w:space="0" w:color="001E55" w:themeColor="accent4"/>
      </w:tblBorders>
    </w:tblPr>
    <w:tblStylePr w:type="firstRow">
      <w:rPr>
        <w:rFonts w:asciiTheme="majorHAnsi" w:eastAsiaTheme="majorEastAsia" w:hAnsiTheme="majorHAnsi" w:cstheme="majorBidi"/>
      </w:rPr>
      <w:tblPr/>
      <w:tcPr>
        <w:tcBorders>
          <w:top w:val="nil"/>
          <w:bottom w:val="single" w:sz="8" w:space="0" w:color="001E55" w:themeColor="accent4"/>
        </w:tcBorders>
      </w:tcPr>
    </w:tblStylePr>
    <w:tblStylePr w:type="lastRow">
      <w:rPr>
        <w:b/>
        <w:bCs/>
        <w:color w:val="333333" w:themeColor="text2"/>
      </w:rPr>
      <w:tblPr/>
      <w:tcPr>
        <w:tcBorders>
          <w:top w:val="single" w:sz="8" w:space="0" w:color="001E55" w:themeColor="accent4"/>
          <w:bottom w:val="single" w:sz="8" w:space="0" w:color="001E55" w:themeColor="accent4"/>
        </w:tcBorders>
      </w:tcPr>
    </w:tblStylePr>
    <w:tblStylePr w:type="firstCol">
      <w:rPr>
        <w:b/>
        <w:bCs/>
      </w:rPr>
    </w:tblStylePr>
    <w:tblStylePr w:type="lastCol">
      <w:rPr>
        <w:b/>
        <w:bCs/>
      </w:rPr>
      <w:tblPr/>
      <w:tcPr>
        <w:tcBorders>
          <w:top w:val="single" w:sz="8" w:space="0" w:color="001E55" w:themeColor="accent4"/>
          <w:bottom w:val="single" w:sz="8" w:space="0" w:color="001E55" w:themeColor="accent4"/>
        </w:tcBorders>
      </w:tcPr>
    </w:tblStylePr>
    <w:tblStylePr w:type="band1Vert">
      <w:tblPr/>
      <w:tcPr>
        <w:shd w:val="clear" w:color="auto" w:fill="96BBFF" w:themeFill="accent4" w:themeFillTint="3F"/>
      </w:tcPr>
    </w:tblStylePr>
    <w:tblStylePr w:type="band1Horz">
      <w:tblPr/>
      <w:tcPr>
        <w:shd w:val="clear" w:color="auto" w:fill="96BBFF" w:themeFill="accent4" w:themeFillTint="3F"/>
      </w:tcPr>
    </w:tblStylePr>
  </w:style>
  <w:style w:type="table" w:styleId="MediumList1-Accent5">
    <w:name w:val="Medium List 1 Accent 5"/>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A5A5A5" w:themeColor="accent5"/>
        <w:bottom w:val="single" w:sz="8" w:space="0" w:color="A5A5A5" w:themeColor="accent5"/>
      </w:tblBorders>
    </w:tblPr>
    <w:tblStylePr w:type="firstRow">
      <w:rPr>
        <w:rFonts w:asciiTheme="majorHAnsi" w:eastAsiaTheme="majorEastAsia" w:hAnsiTheme="majorHAnsi" w:cstheme="majorBidi"/>
      </w:rPr>
      <w:tblPr/>
      <w:tcPr>
        <w:tcBorders>
          <w:top w:val="nil"/>
          <w:bottom w:val="single" w:sz="8" w:space="0" w:color="A5A5A5" w:themeColor="accent5"/>
        </w:tcBorders>
      </w:tcPr>
    </w:tblStylePr>
    <w:tblStylePr w:type="lastRow">
      <w:rPr>
        <w:b/>
        <w:bCs/>
        <w:color w:val="333333" w:themeColor="text2"/>
      </w:rPr>
      <w:tblPr/>
      <w:tcPr>
        <w:tcBorders>
          <w:top w:val="single" w:sz="8" w:space="0" w:color="A5A5A5" w:themeColor="accent5"/>
          <w:bottom w:val="single" w:sz="8" w:space="0" w:color="A5A5A5" w:themeColor="accent5"/>
        </w:tcBorders>
      </w:tcPr>
    </w:tblStylePr>
    <w:tblStylePr w:type="firstCol">
      <w:rPr>
        <w:b/>
        <w:bCs/>
      </w:rPr>
    </w:tblStylePr>
    <w:tblStylePr w:type="lastCol">
      <w:rPr>
        <w:b/>
        <w:bCs/>
      </w:rPr>
      <w:tblPr/>
      <w:tcPr>
        <w:tcBorders>
          <w:top w:val="single" w:sz="8" w:space="0" w:color="A5A5A5" w:themeColor="accent5"/>
          <w:bottom w:val="single" w:sz="8" w:space="0" w:color="A5A5A5" w:themeColor="accent5"/>
        </w:tcBorders>
      </w:tcPr>
    </w:tblStylePr>
    <w:tblStylePr w:type="band1Vert">
      <w:tblPr/>
      <w:tcPr>
        <w:shd w:val="clear" w:color="auto" w:fill="E8E8E8" w:themeFill="accent5" w:themeFillTint="3F"/>
      </w:tcPr>
    </w:tblStylePr>
    <w:tblStylePr w:type="band1Horz">
      <w:tblPr/>
      <w:tcPr>
        <w:shd w:val="clear" w:color="auto" w:fill="E8E8E8" w:themeFill="accent5" w:themeFillTint="3F"/>
      </w:tcPr>
    </w:tblStylePr>
  </w:style>
  <w:style w:type="table" w:styleId="MediumList1-Accent6">
    <w:name w:val="Medium List 1 Accent 6"/>
    <w:basedOn w:val="TableNormal"/>
    <w:uiPriority w:val="65"/>
    <w:semiHidden/>
    <w:unhideWhenUsed/>
    <w:locked/>
    <w:rsid w:val="00095532"/>
    <w:pPr>
      <w:spacing w:line="240" w:lineRule="auto"/>
    </w:pPr>
    <w:rPr>
      <w:color w:val="000000" w:themeColor="text1"/>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
    <w:name w:val="Medium List 2"/>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rPr>
        <w:sz w:val="24"/>
        <w:szCs w:val="24"/>
      </w:rPr>
      <w:tblPr/>
      <w:tcPr>
        <w:tcBorders>
          <w:top w:val="nil"/>
          <w:left w:val="nil"/>
          <w:bottom w:val="single" w:sz="24" w:space="0" w:color="231ED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EDC" w:themeColor="accent1"/>
          <w:insideH w:val="nil"/>
          <w:insideV w:val="nil"/>
        </w:tcBorders>
        <w:shd w:val="clear" w:color="auto" w:fill="FFFFFF" w:themeFill="background1"/>
      </w:tcPr>
    </w:tblStylePr>
    <w:tblStylePr w:type="lastCol">
      <w:tblPr/>
      <w:tcPr>
        <w:tcBorders>
          <w:top w:val="nil"/>
          <w:left w:val="single" w:sz="8" w:space="0" w:color="231E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top w:val="nil"/>
          <w:bottom w:val="nil"/>
          <w:insideH w:val="nil"/>
          <w:insideV w:val="nil"/>
        </w:tcBorders>
        <w:shd w:val="clear" w:color="auto" w:fill="C7C6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rPr>
        <w:sz w:val="24"/>
        <w:szCs w:val="24"/>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7DFF" w:themeColor="accent2"/>
          <w:insideH w:val="nil"/>
          <w:insideV w:val="nil"/>
        </w:tcBorders>
        <w:shd w:val="clear" w:color="auto" w:fill="FFFFFF" w:themeFill="background1"/>
      </w:tcPr>
    </w:tblStylePr>
    <w:tblStylePr w:type="lastCol">
      <w:tblPr/>
      <w:tcPr>
        <w:tcBorders>
          <w:top w:val="nil"/>
          <w:left w:val="single" w:sz="8" w:space="0" w:color="0A7D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top w:val="nil"/>
          <w:bottom w:val="nil"/>
          <w:insideH w:val="nil"/>
          <w:insideV w:val="nil"/>
        </w:tcBorders>
        <w:shd w:val="clear" w:color="auto" w:fill="C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rPr>
        <w:sz w:val="24"/>
        <w:szCs w:val="24"/>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E6FF" w:themeColor="accent3"/>
          <w:insideH w:val="nil"/>
          <w:insideV w:val="nil"/>
        </w:tcBorders>
        <w:shd w:val="clear" w:color="auto" w:fill="FFFFFF" w:themeFill="background1"/>
      </w:tcPr>
    </w:tblStylePr>
    <w:tblStylePr w:type="lastCol">
      <w:tblPr/>
      <w:tcPr>
        <w:tcBorders>
          <w:top w:val="nil"/>
          <w:left w:val="single" w:sz="8" w:space="0" w:color="5AE6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top w:val="nil"/>
          <w:bottom w:val="nil"/>
          <w:insideH w:val="nil"/>
          <w:insideV w:val="nil"/>
        </w:tcBorders>
        <w:shd w:val="clear" w:color="auto" w:fill="D6F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rPr>
        <w:sz w:val="24"/>
        <w:szCs w:val="24"/>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1E55" w:themeColor="accent4"/>
          <w:insideH w:val="nil"/>
          <w:insideV w:val="nil"/>
        </w:tcBorders>
        <w:shd w:val="clear" w:color="auto" w:fill="FFFFFF" w:themeFill="background1"/>
      </w:tcPr>
    </w:tblStylePr>
    <w:tblStylePr w:type="lastCol">
      <w:tblPr/>
      <w:tcPr>
        <w:tcBorders>
          <w:top w:val="nil"/>
          <w:left w:val="single" w:sz="8" w:space="0" w:color="001E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top w:val="nil"/>
          <w:bottom w:val="nil"/>
          <w:insideH w:val="nil"/>
          <w:insideV w:val="nil"/>
        </w:tcBorders>
        <w:shd w:val="clear" w:color="auto" w:fill="96B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rPr>
        <w:sz w:val="24"/>
        <w:szCs w:val="24"/>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5"/>
          <w:insideH w:val="nil"/>
          <w:insideV w:val="nil"/>
        </w:tcBorders>
        <w:shd w:val="clear" w:color="auto" w:fill="FFFFFF" w:themeFill="background1"/>
      </w:tcPr>
    </w:tblStylePr>
    <w:tblStylePr w:type="lastCol">
      <w:tblPr/>
      <w:tcPr>
        <w:tcBorders>
          <w:top w:val="nil"/>
          <w:left w:val="single" w:sz="8" w:space="0" w:color="A5A5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top w:val="nil"/>
          <w:bottom w:val="nil"/>
          <w:insideH w:val="nil"/>
          <w:insideV w:val="nil"/>
        </w:tcBorders>
        <w:shd w:val="clear" w:color="auto" w:fill="E8E8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095532"/>
    <w:pPr>
      <w:spacing w:line="240" w:lineRule="auto"/>
    </w:pPr>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095532"/>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095532"/>
    <w:pPr>
      <w:spacing w:line="240" w:lineRule="auto"/>
    </w:pPr>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tblBorders>
    </w:tblPr>
    <w:tblStylePr w:type="firstRow">
      <w:pPr>
        <w:spacing w:before="0" w:after="0" w:line="240" w:lineRule="auto"/>
      </w:pPr>
      <w:rPr>
        <w:b/>
        <w:bCs/>
        <w:color w:val="FFFFFF" w:themeColor="background1"/>
      </w:rPr>
      <w:tblPr/>
      <w:tcPr>
        <w:tc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shd w:val="clear" w:color="auto" w:fill="231EDC" w:themeFill="accent1"/>
      </w:tcPr>
    </w:tblStylePr>
    <w:tblStylePr w:type="lastRow">
      <w:pPr>
        <w:spacing w:before="0" w:after="0" w:line="240" w:lineRule="auto"/>
      </w:pPr>
      <w:rPr>
        <w:b/>
        <w:bCs/>
      </w:rPr>
      <w:tblPr/>
      <w:tcPr>
        <w:tcBorders>
          <w:top w:val="double" w:sz="6"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C6F7" w:themeFill="accent1" w:themeFillTint="3F"/>
      </w:tcPr>
    </w:tblStylePr>
    <w:tblStylePr w:type="band1Horz">
      <w:tblPr/>
      <w:tcPr>
        <w:tcBorders>
          <w:insideH w:val="nil"/>
          <w:insideV w:val="nil"/>
        </w:tcBorders>
        <w:shd w:val="clear" w:color="auto" w:fill="C7C6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095532"/>
    <w:pPr>
      <w:spacing w:line="240" w:lineRule="auto"/>
    </w:pPr>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tblBorders>
    </w:tblPr>
    <w:tblStylePr w:type="firstRow">
      <w:pPr>
        <w:spacing w:before="0" w:after="0" w:line="240" w:lineRule="auto"/>
      </w:pPr>
      <w:rPr>
        <w:b/>
        <w:bCs/>
        <w:color w:val="FFFFFF" w:themeColor="background1"/>
      </w:rPr>
      <w:tblPr/>
      <w:tcPr>
        <w:tc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shd w:val="clear" w:color="auto" w:fill="0A7DFF" w:themeFill="accent2"/>
      </w:tcPr>
    </w:tblStylePr>
    <w:tblStylePr w:type="lastRow">
      <w:pPr>
        <w:spacing w:before="0" w:after="0" w:line="240" w:lineRule="auto"/>
      </w:pPr>
      <w:rPr>
        <w:b/>
        <w:bCs/>
      </w:rPr>
      <w:tblPr/>
      <w:tcPr>
        <w:tcBorders>
          <w:top w:val="double" w:sz="6"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DEFF" w:themeFill="accent2" w:themeFillTint="3F"/>
      </w:tcPr>
    </w:tblStylePr>
    <w:tblStylePr w:type="band1Horz">
      <w:tblPr/>
      <w:tcPr>
        <w:tcBorders>
          <w:insideH w:val="nil"/>
          <w:insideV w:val="nil"/>
        </w:tcBorders>
        <w:shd w:val="clear" w:color="auto" w:fill="C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095532"/>
    <w:pPr>
      <w:spacing w:line="240" w:lineRule="auto"/>
    </w:pPr>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tblBorders>
    </w:tblPr>
    <w:tblStylePr w:type="firstRow">
      <w:pPr>
        <w:spacing w:before="0" w:after="0" w:line="240" w:lineRule="auto"/>
      </w:pPr>
      <w:rPr>
        <w:b/>
        <w:bCs/>
        <w:color w:val="FFFFFF" w:themeColor="background1"/>
      </w:rPr>
      <w:tblPr/>
      <w:tcPr>
        <w:tc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shd w:val="clear" w:color="auto" w:fill="5AE6FF" w:themeFill="accent3"/>
      </w:tcPr>
    </w:tblStylePr>
    <w:tblStylePr w:type="lastRow">
      <w:pPr>
        <w:spacing w:before="0" w:after="0" w:line="240" w:lineRule="auto"/>
      </w:pPr>
      <w:rPr>
        <w:b/>
        <w:bCs/>
      </w:rPr>
      <w:tblPr/>
      <w:tcPr>
        <w:tcBorders>
          <w:top w:val="double" w:sz="6"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6F8FF" w:themeFill="accent3" w:themeFillTint="3F"/>
      </w:tcPr>
    </w:tblStylePr>
    <w:tblStylePr w:type="band1Horz">
      <w:tblPr/>
      <w:tcPr>
        <w:tcBorders>
          <w:insideH w:val="nil"/>
          <w:insideV w:val="nil"/>
        </w:tcBorders>
        <w:shd w:val="clear" w:color="auto" w:fill="D6F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095532"/>
    <w:pPr>
      <w:spacing w:line="240" w:lineRule="auto"/>
    </w:pPr>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tblBorders>
    </w:tblPr>
    <w:tblStylePr w:type="firstRow">
      <w:pPr>
        <w:spacing w:before="0" w:after="0" w:line="240" w:lineRule="auto"/>
      </w:pPr>
      <w:rPr>
        <w:b/>
        <w:bCs/>
        <w:color w:val="FFFFFF" w:themeColor="background1"/>
      </w:rPr>
      <w:tblPr/>
      <w:tcPr>
        <w:tc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shd w:val="clear" w:color="auto" w:fill="001E55" w:themeFill="accent4"/>
      </w:tcPr>
    </w:tblStylePr>
    <w:tblStylePr w:type="lastRow">
      <w:pPr>
        <w:spacing w:before="0" w:after="0" w:line="240" w:lineRule="auto"/>
      </w:pPr>
      <w:rPr>
        <w:b/>
        <w:bCs/>
      </w:rPr>
      <w:tblPr/>
      <w:tcPr>
        <w:tcBorders>
          <w:top w:val="double" w:sz="6"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6BBFF" w:themeFill="accent4" w:themeFillTint="3F"/>
      </w:tcPr>
    </w:tblStylePr>
    <w:tblStylePr w:type="band1Horz">
      <w:tblPr/>
      <w:tcPr>
        <w:tcBorders>
          <w:insideH w:val="nil"/>
          <w:insideV w:val="nil"/>
        </w:tcBorders>
        <w:shd w:val="clear" w:color="auto" w:fill="96B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095532"/>
    <w:pPr>
      <w:spacing w:line="240" w:lineRule="auto"/>
    </w:p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tblBorders>
    </w:tblPr>
    <w:tblStylePr w:type="firstRow">
      <w:pPr>
        <w:spacing w:before="0" w:after="0" w:line="240" w:lineRule="auto"/>
      </w:pPr>
      <w:rPr>
        <w:b/>
        <w:bCs/>
        <w:color w:val="FFFFFF" w:themeColor="background1"/>
      </w:rPr>
      <w:tblPr/>
      <w:tcPr>
        <w:tc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shd w:val="clear" w:color="auto" w:fill="A5A5A5" w:themeFill="accent5"/>
      </w:tcPr>
    </w:tblStylePr>
    <w:tblStylePr w:type="lastRow">
      <w:pPr>
        <w:spacing w:before="0" w:after="0" w:line="240" w:lineRule="auto"/>
      </w:pPr>
      <w:rPr>
        <w:b/>
        <w:bCs/>
      </w:rPr>
      <w:tblPr/>
      <w:tcPr>
        <w:tcBorders>
          <w:top w:val="double" w:sz="6"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5" w:themeFillTint="3F"/>
      </w:tcPr>
    </w:tblStylePr>
    <w:tblStylePr w:type="band1Horz">
      <w:tblPr/>
      <w:tcPr>
        <w:tcBorders>
          <w:insideH w:val="nil"/>
          <w:insideV w:val="nil"/>
        </w:tcBorders>
        <w:shd w:val="clear" w:color="auto" w:fill="E8E8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095532"/>
    <w:pPr>
      <w:spacing w:line="240" w:lineRule="auto"/>
    </w:p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E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1EDC" w:themeFill="accent1"/>
      </w:tcPr>
    </w:tblStylePr>
    <w:tblStylePr w:type="lastCol">
      <w:rPr>
        <w:b/>
        <w:bCs/>
        <w:color w:val="FFFFFF" w:themeColor="background1"/>
      </w:rPr>
      <w:tblPr/>
      <w:tcPr>
        <w:tcBorders>
          <w:left w:val="nil"/>
          <w:right w:val="nil"/>
          <w:insideH w:val="nil"/>
          <w:insideV w:val="nil"/>
        </w:tcBorders>
        <w:shd w:val="clear" w:color="auto" w:fill="231E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7D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7DFF" w:themeFill="accent2"/>
      </w:tcPr>
    </w:tblStylePr>
    <w:tblStylePr w:type="lastCol">
      <w:rPr>
        <w:b/>
        <w:bCs/>
        <w:color w:val="FFFFFF" w:themeColor="background1"/>
      </w:rPr>
      <w:tblPr/>
      <w:tcPr>
        <w:tcBorders>
          <w:left w:val="nil"/>
          <w:right w:val="nil"/>
          <w:insideH w:val="nil"/>
          <w:insideV w:val="nil"/>
        </w:tcBorders>
        <w:shd w:val="clear" w:color="auto" w:fill="0A7D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E6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AE6FF" w:themeFill="accent3"/>
      </w:tcPr>
    </w:tblStylePr>
    <w:tblStylePr w:type="lastCol">
      <w:rPr>
        <w:b/>
        <w:bCs/>
        <w:color w:val="FFFFFF" w:themeColor="background1"/>
      </w:rPr>
      <w:tblPr/>
      <w:tcPr>
        <w:tcBorders>
          <w:left w:val="nil"/>
          <w:right w:val="nil"/>
          <w:insideH w:val="nil"/>
          <w:insideV w:val="nil"/>
        </w:tcBorders>
        <w:shd w:val="clear" w:color="auto" w:fill="5AE6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E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1E55" w:themeFill="accent4"/>
      </w:tcPr>
    </w:tblStylePr>
    <w:tblStylePr w:type="lastCol">
      <w:rPr>
        <w:b/>
        <w:bCs/>
        <w:color w:val="FFFFFF" w:themeColor="background1"/>
      </w:rPr>
      <w:tblPr/>
      <w:tcPr>
        <w:tcBorders>
          <w:left w:val="nil"/>
          <w:right w:val="nil"/>
          <w:insideH w:val="nil"/>
          <w:insideV w:val="nil"/>
        </w:tcBorders>
        <w:shd w:val="clear" w:color="auto" w:fill="001E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5"/>
      </w:tcPr>
    </w:tblStylePr>
    <w:tblStylePr w:type="lastCol">
      <w:rPr>
        <w:b/>
        <w:bCs/>
        <w:color w:val="FFFFFF" w:themeColor="background1"/>
      </w:rPr>
      <w:tblPr/>
      <w:tcPr>
        <w:tcBorders>
          <w:left w:val="nil"/>
          <w:right w:val="nil"/>
          <w:insideH w:val="nil"/>
          <w:insideV w:val="nil"/>
        </w:tcBorders>
        <w:shd w:val="clear" w:color="auto" w:fill="A5A5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locked/>
    <w:rsid w:val="0009553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locked/>
    <w:rsid w:val="00095532"/>
    <w:rPr>
      <w:color w:val="2B579A"/>
      <w:shd w:val="clear" w:color="auto" w:fill="E6E6E6"/>
    </w:rPr>
  </w:style>
  <w:style w:type="paragraph" w:styleId="MessageHeader">
    <w:name w:val="Message Header"/>
    <w:basedOn w:val="Normal"/>
    <w:link w:val="MessageHeaderChar"/>
    <w:uiPriority w:val="99"/>
    <w:semiHidden/>
    <w:unhideWhenUsed/>
    <w:locked/>
    <w:rsid w:val="00095532"/>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095532"/>
    <w:rPr>
      <w:rFonts w:eastAsiaTheme="majorEastAsia" w:cstheme="majorBidi"/>
      <w:sz w:val="24"/>
      <w:szCs w:val="24"/>
      <w:shd w:val="pct20" w:color="auto" w:fill="auto"/>
    </w:rPr>
  </w:style>
  <w:style w:type="paragraph" w:styleId="NormalWeb">
    <w:name w:val="Normal (Web)"/>
    <w:basedOn w:val="Normal"/>
    <w:uiPriority w:val="99"/>
    <w:semiHidden/>
    <w:unhideWhenUsed/>
    <w:locked/>
    <w:rsid w:val="00095532"/>
    <w:rPr>
      <w:rFonts w:ascii="Times New Roman" w:hAnsi="Times New Roman" w:cs="Times New Roman"/>
      <w:sz w:val="24"/>
      <w:szCs w:val="24"/>
    </w:rPr>
  </w:style>
  <w:style w:type="paragraph" w:styleId="NormalIndent">
    <w:name w:val="Normal Indent"/>
    <w:basedOn w:val="Normal"/>
    <w:uiPriority w:val="99"/>
    <w:semiHidden/>
    <w:unhideWhenUsed/>
    <w:locked/>
    <w:rsid w:val="00095532"/>
    <w:pPr>
      <w:ind w:left="720"/>
    </w:pPr>
  </w:style>
  <w:style w:type="paragraph" w:styleId="NoteHeading">
    <w:name w:val="Note Heading"/>
    <w:basedOn w:val="Normal"/>
    <w:next w:val="Normal"/>
    <w:link w:val="NoteHeadingChar"/>
    <w:uiPriority w:val="99"/>
    <w:semiHidden/>
    <w:unhideWhenUsed/>
    <w:locked/>
    <w:rsid w:val="00095532"/>
  </w:style>
  <w:style w:type="character" w:customStyle="1" w:styleId="NoteHeadingChar">
    <w:name w:val="Note Heading Char"/>
    <w:basedOn w:val="DefaultParagraphFont"/>
    <w:link w:val="NoteHeading"/>
    <w:uiPriority w:val="99"/>
    <w:semiHidden/>
    <w:rsid w:val="00095532"/>
  </w:style>
  <w:style w:type="character" w:styleId="PageNumber">
    <w:name w:val="page number"/>
    <w:basedOn w:val="DefaultParagraphFont"/>
    <w:uiPriority w:val="99"/>
    <w:semiHidden/>
    <w:unhideWhenUsed/>
    <w:locked/>
    <w:rsid w:val="00095532"/>
  </w:style>
  <w:style w:type="table" w:styleId="PlainTable2">
    <w:name w:val="Plain Table 2"/>
    <w:basedOn w:val="TableNormal"/>
    <w:uiPriority w:val="42"/>
    <w:locked/>
    <w:rsid w:val="0009553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locked/>
    <w:rsid w:val="0009553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09553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locked/>
    <w:rsid w:val="00095532"/>
    <w:rPr>
      <w:rFonts w:ascii="Consolas" w:hAnsi="Consolas"/>
      <w:sz w:val="21"/>
      <w:szCs w:val="21"/>
    </w:rPr>
  </w:style>
  <w:style w:type="character" w:customStyle="1" w:styleId="PlainTextChar">
    <w:name w:val="Plain Text Char"/>
    <w:basedOn w:val="DefaultParagraphFont"/>
    <w:link w:val="PlainText"/>
    <w:uiPriority w:val="99"/>
    <w:semiHidden/>
    <w:rsid w:val="00095532"/>
    <w:rPr>
      <w:rFonts w:ascii="Consolas" w:hAnsi="Consolas"/>
      <w:sz w:val="21"/>
      <w:szCs w:val="21"/>
    </w:rPr>
  </w:style>
  <w:style w:type="paragraph" w:styleId="Quote">
    <w:name w:val="Quote"/>
    <w:basedOn w:val="Normal"/>
    <w:next w:val="Normal"/>
    <w:link w:val="QuoteChar"/>
    <w:uiPriority w:val="99"/>
    <w:semiHidden/>
    <w:qFormat/>
    <w:locked/>
    <w:rsid w:val="0009553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095532"/>
    <w:rPr>
      <w:i/>
      <w:iCs/>
      <w:color w:val="404040" w:themeColor="text1" w:themeTint="BF"/>
    </w:rPr>
  </w:style>
  <w:style w:type="paragraph" w:styleId="Salutation">
    <w:name w:val="Salutation"/>
    <w:basedOn w:val="Normal"/>
    <w:next w:val="Normal"/>
    <w:link w:val="SalutationChar"/>
    <w:uiPriority w:val="99"/>
    <w:semiHidden/>
    <w:unhideWhenUsed/>
    <w:locked/>
    <w:rsid w:val="00095532"/>
  </w:style>
  <w:style w:type="character" w:customStyle="1" w:styleId="SalutationChar">
    <w:name w:val="Salutation Char"/>
    <w:basedOn w:val="DefaultParagraphFont"/>
    <w:link w:val="Salutation"/>
    <w:uiPriority w:val="99"/>
    <w:semiHidden/>
    <w:rsid w:val="00095532"/>
  </w:style>
  <w:style w:type="paragraph" w:styleId="Signature">
    <w:name w:val="Signature"/>
    <w:basedOn w:val="Normal"/>
    <w:link w:val="SignatureChar"/>
    <w:uiPriority w:val="99"/>
    <w:semiHidden/>
    <w:unhideWhenUsed/>
    <w:locked/>
    <w:rsid w:val="00095532"/>
    <w:pPr>
      <w:ind w:left="4252"/>
    </w:pPr>
  </w:style>
  <w:style w:type="character" w:customStyle="1" w:styleId="SignatureChar">
    <w:name w:val="Signature Char"/>
    <w:basedOn w:val="DefaultParagraphFont"/>
    <w:link w:val="Signature"/>
    <w:uiPriority w:val="99"/>
    <w:semiHidden/>
    <w:rsid w:val="00095532"/>
  </w:style>
  <w:style w:type="character" w:styleId="SmartHyperlink">
    <w:name w:val="Smart Hyperlink"/>
    <w:basedOn w:val="DefaultParagraphFont"/>
    <w:uiPriority w:val="99"/>
    <w:semiHidden/>
    <w:unhideWhenUsed/>
    <w:locked/>
    <w:rsid w:val="00095532"/>
    <w:rPr>
      <w:u w:val="dotted"/>
    </w:rPr>
  </w:style>
  <w:style w:type="character" w:styleId="Strong">
    <w:name w:val="Strong"/>
    <w:basedOn w:val="DefaultParagraphFont"/>
    <w:uiPriority w:val="22"/>
    <w:qFormat/>
    <w:locked/>
    <w:rsid w:val="00095532"/>
    <w:rPr>
      <w:b/>
      <w:bCs/>
    </w:rPr>
  </w:style>
  <w:style w:type="paragraph" w:styleId="Subtitle">
    <w:name w:val="Subtitle"/>
    <w:basedOn w:val="Normal"/>
    <w:next w:val="Normal"/>
    <w:link w:val="SubtitleChar"/>
    <w:uiPriority w:val="99"/>
    <w:semiHidden/>
    <w:qFormat/>
    <w:locked/>
    <w:rsid w:val="00095532"/>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095532"/>
    <w:rPr>
      <w:color w:val="5A5A5A" w:themeColor="text1" w:themeTint="A5"/>
      <w:spacing w:val="15"/>
    </w:rPr>
  </w:style>
  <w:style w:type="character" w:styleId="SubtleEmphasis">
    <w:name w:val="Subtle Emphasis"/>
    <w:basedOn w:val="DefaultParagraphFont"/>
    <w:uiPriority w:val="99"/>
    <w:semiHidden/>
    <w:qFormat/>
    <w:locked/>
    <w:rsid w:val="00095532"/>
    <w:rPr>
      <w:i/>
      <w:iCs/>
      <w:color w:val="404040" w:themeColor="text1" w:themeTint="BF"/>
    </w:rPr>
  </w:style>
  <w:style w:type="character" w:styleId="SubtleReference">
    <w:name w:val="Subtle Reference"/>
    <w:basedOn w:val="DefaultParagraphFont"/>
    <w:uiPriority w:val="99"/>
    <w:semiHidden/>
    <w:qFormat/>
    <w:locked/>
    <w:rsid w:val="00095532"/>
    <w:rPr>
      <w:smallCaps/>
      <w:color w:val="5A5A5A" w:themeColor="text1" w:themeTint="A5"/>
    </w:rPr>
  </w:style>
  <w:style w:type="table" w:styleId="Table3Deffects1">
    <w:name w:val="Table 3D effects 1"/>
    <w:basedOn w:val="TableNormal"/>
    <w:uiPriority w:val="99"/>
    <w:semiHidden/>
    <w:unhideWhenUsed/>
    <w:locked/>
    <w:rsid w:val="00095532"/>
    <w:pPr>
      <w:spacing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095532"/>
    <w:pPr>
      <w:spacing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095532"/>
    <w:pPr>
      <w:spacing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095532"/>
    <w:pPr>
      <w:spacing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095532"/>
    <w:pPr>
      <w:spacing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095532"/>
    <w:pPr>
      <w:spacing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095532"/>
    <w:pPr>
      <w:spacing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095532"/>
    <w:pPr>
      <w:spacing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095532"/>
    <w:pPr>
      <w:spacing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095532"/>
    <w:pPr>
      <w:spacing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095532"/>
    <w:pPr>
      <w:spacing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095532"/>
    <w:pPr>
      <w:spacing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095532"/>
    <w:pPr>
      <w:spacing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095532"/>
    <w:pPr>
      <w:spacing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095532"/>
    <w:pPr>
      <w:spacing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095532"/>
    <w:pPr>
      <w:spacing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095532"/>
    <w:pPr>
      <w:spacing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locked/>
    <w:rsid w:val="00095532"/>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095532"/>
    <w:pPr>
      <w:spacing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095532"/>
    <w:pPr>
      <w:spacing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095532"/>
    <w:pPr>
      <w:spacing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095532"/>
    <w:pPr>
      <w:spacing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095532"/>
    <w:pPr>
      <w:spacing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095532"/>
    <w:pPr>
      <w:spacing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095532"/>
    <w:pPr>
      <w:spacing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locked/>
    <w:rsid w:val="0009553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locked/>
    <w:rsid w:val="00095532"/>
    <w:pPr>
      <w:spacing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095532"/>
    <w:pPr>
      <w:spacing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095532"/>
    <w:pPr>
      <w:spacing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095532"/>
    <w:pPr>
      <w:spacing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095532"/>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095532"/>
    <w:pPr>
      <w:spacing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095532"/>
    <w:pPr>
      <w:spacing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095532"/>
    <w:pPr>
      <w:spacing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095532"/>
    <w:pPr>
      <w:ind w:left="220" w:hanging="220"/>
    </w:pPr>
  </w:style>
  <w:style w:type="paragraph" w:styleId="TableofFigures">
    <w:name w:val="table of figures"/>
    <w:basedOn w:val="Normal"/>
    <w:next w:val="Normal"/>
    <w:uiPriority w:val="99"/>
    <w:semiHidden/>
    <w:unhideWhenUsed/>
    <w:locked/>
    <w:rsid w:val="00095532"/>
  </w:style>
  <w:style w:type="table" w:styleId="TableProfessional">
    <w:name w:val="Table Professional"/>
    <w:basedOn w:val="TableNormal"/>
    <w:uiPriority w:val="99"/>
    <w:semiHidden/>
    <w:unhideWhenUsed/>
    <w:locked/>
    <w:rsid w:val="00095532"/>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095532"/>
    <w:pPr>
      <w:spacing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095532"/>
    <w:pPr>
      <w:spacing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095532"/>
    <w:pPr>
      <w:spacing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095532"/>
    <w:pPr>
      <w:spacing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095532"/>
    <w:pPr>
      <w:spacing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09553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095532"/>
    <w:pPr>
      <w:spacing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095532"/>
    <w:pPr>
      <w:spacing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095532"/>
    <w:pPr>
      <w:spacing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095532"/>
    <w:pPr>
      <w:spacing w:before="120"/>
    </w:pPr>
    <w:rPr>
      <w:rFonts w:eastAsiaTheme="majorEastAsia" w:cstheme="majorBidi"/>
      <w:b/>
      <w:bCs/>
      <w:sz w:val="24"/>
      <w:szCs w:val="24"/>
    </w:rPr>
  </w:style>
  <w:style w:type="paragraph" w:styleId="TOC4">
    <w:name w:val="toc 4"/>
    <w:basedOn w:val="Normal"/>
    <w:next w:val="Normal"/>
    <w:autoRedefine/>
    <w:uiPriority w:val="99"/>
    <w:semiHidden/>
    <w:locked/>
    <w:rsid w:val="00095532"/>
    <w:pPr>
      <w:spacing w:after="100"/>
      <w:ind w:left="660"/>
    </w:pPr>
  </w:style>
  <w:style w:type="paragraph" w:styleId="TOC5">
    <w:name w:val="toc 5"/>
    <w:basedOn w:val="Normal"/>
    <w:next w:val="Normal"/>
    <w:autoRedefine/>
    <w:uiPriority w:val="99"/>
    <w:semiHidden/>
    <w:locked/>
    <w:rsid w:val="00095532"/>
    <w:pPr>
      <w:spacing w:after="100"/>
      <w:ind w:left="880"/>
    </w:pPr>
  </w:style>
  <w:style w:type="paragraph" w:styleId="TOC6">
    <w:name w:val="toc 6"/>
    <w:basedOn w:val="Normal"/>
    <w:next w:val="Normal"/>
    <w:autoRedefine/>
    <w:uiPriority w:val="99"/>
    <w:semiHidden/>
    <w:locked/>
    <w:rsid w:val="00095532"/>
    <w:pPr>
      <w:spacing w:after="100"/>
      <w:ind w:left="1100"/>
    </w:pPr>
  </w:style>
  <w:style w:type="paragraph" w:styleId="TOC7">
    <w:name w:val="toc 7"/>
    <w:basedOn w:val="Normal"/>
    <w:next w:val="Normal"/>
    <w:autoRedefine/>
    <w:uiPriority w:val="99"/>
    <w:semiHidden/>
    <w:locked/>
    <w:rsid w:val="00095532"/>
    <w:pPr>
      <w:spacing w:after="100"/>
      <w:ind w:left="1320"/>
    </w:pPr>
  </w:style>
  <w:style w:type="paragraph" w:styleId="TOC8">
    <w:name w:val="toc 8"/>
    <w:basedOn w:val="Normal"/>
    <w:next w:val="Normal"/>
    <w:autoRedefine/>
    <w:uiPriority w:val="99"/>
    <w:semiHidden/>
    <w:locked/>
    <w:rsid w:val="00095532"/>
    <w:pPr>
      <w:spacing w:after="100"/>
      <w:ind w:left="1540"/>
    </w:pPr>
  </w:style>
  <w:style w:type="paragraph" w:styleId="TOC9">
    <w:name w:val="toc 9"/>
    <w:basedOn w:val="Normal"/>
    <w:next w:val="Normal"/>
    <w:autoRedefine/>
    <w:uiPriority w:val="99"/>
    <w:semiHidden/>
    <w:locked/>
    <w:rsid w:val="00095532"/>
    <w:pPr>
      <w:spacing w:after="100"/>
      <w:ind w:left="1760"/>
    </w:pPr>
  </w:style>
  <w:style w:type="character" w:styleId="UnresolvedMention">
    <w:name w:val="Unresolved Mention"/>
    <w:basedOn w:val="DefaultParagraphFont"/>
    <w:uiPriority w:val="99"/>
    <w:semiHidden/>
    <w:unhideWhenUsed/>
    <w:locked/>
    <w:rsid w:val="00095532"/>
    <w:rPr>
      <w:color w:val="808080"/>
      <w:shd w:val="clear" w:color="auto" w:fill="E6E6E6"/>
    </w:rPr>
  </w:style>
  <w:style w:type="paragraph" w:customStyle="1" w:styleId="TableNumber2">
    <w:name w:val="Table Number 2"/>
    <w:basedOn w:val="Normal"/>
    <w:uiPriority w:val="5"/>
    <w:rsid w:val="00095532"/>
    <w:pPr>
      <w:numPr>
        <w:ilvl w:val="1"/>
        <w:numId w:val="30"/>
      </w:numPr>
      <w:spacing w:before="40" w:after="40"/>
    </w:pPr>
    <w:rPr>
      <w:rFonts w:asciiTheme="minorHAnsi" w:hAnsiTheme="minorHAnsi"/>
      <w:sz w:val="18"/>
    </w:rPr>
  </w:style>
  <w:style w:type="paragraph" w:customStyle="1" w:styleId="InstructionText">
    <w:name w:val="Instruction Text"/>
    <w:basedOn w:val="Normal"/>
    <w:link w:val="InstructionTextChar"/>
    <w:uiPriority w:val="99"/>
    <w:semiHidden/>
    <w:rsid w:val="00095532"/>
    <w:pPr>
      <w:spacing w:before="120" w:after="120"/>
    </w:pPr>
    <w:rPr>
      <w:rFonts w:ascii="Arial" w:hAnsi="Arial"/>
      <w:i/>
      <w:color w:val="231EDC" w:themeColor="accent1"/>
      <w:sz w:val="18"/>
    </w:rPr>
  </w:style>
  <w:style w:type="character" w:customStyle="1" w:styleId="InstructionTextChar">
    <w:name w:val="Instruction Text Char"/>
    <w:link w:val="InstructionText"/>
    <w:semiHidden/>
    <w:rsid w:val="00095532"/>
    <w:rPr>
      <w:rFonts w:ascii="Arial" w:hAnsi="Arial"/>
      <w:i/>
      <w:color w:val="231EDC" w:themeColor="accent1"/>
      <w:sz w:val="18"/>
    </w:rPr>
  </w:style>
  <w:style w:type="character" w:customStyle="1" w:styleId="AdaButton">
    <w:name w:val="AdaButton"/>
    <w:basedOn w:val="DefaultParagraphFont"/>
    <w:uiPriority w:val="99"/>
    <w:semiHidden/>
    <w:qFormat/>
    <w:rsid w:val="00095532"/>
    <w:rPr>
      <w:b w:val="0"/>
      <w:color w:val="CCFFCC"/>
      <w:sz w:val="40"/>
      <w:bdr w:val="single" w:sz="4" w:space="0" w:color="44546A"/>
      <w:shd w:val="clear" w:color="auto" w:fill="999999"/>
    </w:rPr>
  </w:style>
  <w:style w:type="paragraph" w:customStyle="1" w:styleId="FooterHeading">
    <w:name w:val="Footer Heading"/>
    <w:basedOn w:val="Footer"/>
    <w:next w:val="Footer"/>
    <w:uiPriority w:val="99"/>
    <w:semiHidden/>
    <w:qFormat/>
    <w:rsid w:val="00095532"/>
    <w:rPr>
      <w:b/>
      <w:sz w:val="21"/>
    </w:rPr>
  </w:style>
  <w:style w:type="paragraph" w:customStyle="1" w:styleId="Reference">
    <w:name w:val="Reference"/>
    <w:basedOn w:val="Footer"/>
    <w:uiPriority w:val="99"/>
    <w:semiHidden/>
    <w:qFormat/>
    <w:rsid w:val="00095532"/>
    <w:rPr>
      <w:sz w:val="13"/>
    </w:rPr>
  </w:style>
  <w:style w:type="paragraph" w:customStyle="1" w:styleId="TableNumber3">
    <w:name w:val="Table Number 3"/>
    <w:basedOn w:val="Normal"/>
    <w:uiPriority w:val="5"/>
    <w:rsid w:val="00095532"/>
    <w:pPr>
      <w:numPr>
        <w:ilvl w:val="2"/>
        <w:numId w:val="30"/>
      </w:numPr>
      <w:spacing w:before="40" w:after="40"/>
    </w:pPr>
    <w:rPr>
      <w:rFonts w:asciiTheme="minorHAnsi" w:hAnsiTheme="minorHAnsi"/>
      <w:sz w:val="18"/>
    </w:rPr>
  </w:style>
  <w:style w:type="paragraph" w:customStyle="1" w:styleId="TableBullet2">
    <w:name w:val="Table Bullet 2"/>
    <w:basedOn w:val="Normal"/>
    <w:uiPriority w:val="6"/>
    <w:rsid w:val="00095532"/>
    <w:pPr>
      <w:numPr>
        <w:ilvl w:val="1"/>
        <w:numId w:val="34"/>
      </w:numPr>
      <w:spacing w:before="40" w:after="40"/>
    </w:pPr>
    <w:rPr>
      <w:rFonts w:asciiTheme="minorHAnsi" w:hAnsiTheme="minorHAnsi"/>
      <w:sz w:val="18"/>
    </w:rPr>
  </w:style>
  <w:style w:type="paragraph" w:customStyle="1" w:styleId="TableBullet3">
    <w:name w:val="Table Bullet 3"/>
    <w:basedOn w:val="Normal"/>
    <w:uiPriority w:val="6"/>
    <w:rsid w:val="00095532"/>
    <w:pPr>
      <w:numPr>
        <w:ilvl w:val="2"/>
        <w:numId w:val="34"/>
      </w:numPr>
      <w:spacing w:before="40" w:after="40"/>
    </w:pPr>
    <w:rPr>
      <w:rFonts w:asciiTheme="minorHAnsi" w:hAnsiTheme="minorHAnsi"/>
      <w:sz w:val="18"/>
    </w:rPr>
  </w:style>
  <w:style w:type="numbering" w:customStyle="1" w:styleId="TableNumbers">
    <w:name w:val="Table Numbers"/>
    <w:uiPriority w:val="99"/>
    <w:semiHidden/>
    <w:rsid w:val="00095532"/>
    <w:pPr>
      <w:numPr>
        <w:numId w:val="35"/>
      </w:numPr>
    </w:pPr>
  </w:style>
  <w:style w:type="numbering" w:customStyle="1" w:styleId="TableBullets">
    <w:name w:val="Table Bullets"/>
    <w:uiPriority w:val="99"/>
    <w:semiHidden/>
    <w:rsid w:val="00095532"/>
    <w:pPr>
      <w:numPr>
        <w:numId w:val="20"/>
      </w:numPr>
    </w:pPr>
  </w:style>
  <w:style w:type="numbering" w:customStyle="1" w:styleId="AppendixHeadings">
    <w:name w:val="Appendix Headings"/>
    <w:uiPriority w:val="99"/>
    <w:semiHidden/>
    <w:rsid w:val="00095532"/>
    <w:pPr>
      <w:numPr>
        <w:numId w:val="37"/>
      </w:numPr>
    </w:pPr>
  </w:style>
  <w:style w:type="numbering" w:styleId="111111">
    <w:name w:val="Outline List 2"/>
    <w:basedOn w:val="NoList"/>
    <w:uiPriority w:val="99"/>
    <w:semiHidden/>
    <w:unhideWhenUsed/>
    <w:locked/>
    <w:rsid w:val="000449AA"/>
    <w:pPr>
      <w:numPr>
        <w:numId w:val="16"/>
      </w:numPr>
    </w:pPr>
  </w:style>
  <w:style w:type="numbering" w:styleId="1ai">
    <w:name w:val="Outline List 1"/>
    <w:basedOn w:val="NoList"/>
    <w:uiPriority w:val="99"/>
    <w:semiHidden/>
    <w:unhideWhenUsed/>
    <w:locked/>
    <w:rsid w:val="000449AA"/>
    <w:pPr>
      <w:numPr>
        <w:numId w:val="17"/>
      </w:numPr>
    </w:pPr>
  </w:style>
  <w:style w:type="character" w:styleId="SmartLink">
    <w:name w:val="Smart Link"/>
    <w:basedOn w:val="DefaultParagraphFont"/>
    <w:uiPriority w:val="99"/>
    <w:semiHidden/>
    <w:unhideWhenUsed/>
    <w:rsid w:val="000449AA"/>
    <w:rPr>
      <w:color w:val="0000FF"/>
      <w:u w:val="single"/>
      <w:shd w:val="clear" w:color="auto" w:fill="F3F2F1"/>
    </w:rPr>
  </w:style>
  <w:style w:type="numbering" w:customStyle="1" w:styleId="BodyTextNumbering">
    <w:name w:val="Body Text Numbering"/>
    <w:uiPriority w:val="99"/>
    <w:semiHidden/>
    <w:rsid w:val="00095532"/>
    <w:pPr>
      <w:numPr>
        <w:numId w:val="36"/>
      </w:numPr>
    </w:pPr>
  </w:style>
  <w:style w:type="numbering" w:customStyle="1" w:styleId="Bullets">
    <w:name w:val="Bullets"/>
    <w:uiPriority w:val="99"/>
    <w:semiHidden/>
    <w:rsid w:val="00095532"/>
    <w:pPr>
      <w:numPr>
        <w:numId w:val="38"/>
      </w:numPr>
    </w:pPr>
  </w:style>
  <w:style w:type="paragraph" w:styleId="ListBullet">
    <w:name w:val="List Bullet"/>
    <w:basedOn w:val="Normal"/>
    <w:uiPriority w:val="99"/>
    <w:semiHidden/>
    <w:unhideWhenUsed/>
    <w:qFormat/>
    <w:locked/>
    <w:rsid w:val="00266C2E"/>
    <w:pPr>
      <w:tabs>
        <w:tab w:val="num" w:pos="360"/>
      </w:tabs>
      <w:ind w:left="360" w:hanging="360"/>
      <w:contextualSpacing/>
    </w:pPr>
  </w:style>
  <w:style w:type="paragraph" w:styleId="ListBullet2">
    <w:name w:val="List Bullet 2"/>
    <w:basedOn w:val="Normal"/>
    <w:uiPriority w:val="99"/>
    <w:semiHidden/>
    <w:unhideWhenUsed/>
    <w:qFormat/>
    <w:locked/>
    <w:rsid w:val="00266C2E"/>
    <w:pPr>
      <w:tabs>
        <w:tab w:val="num" w:pos="643"/>
      </w:tabs>
      <w:ind w:left="643" w:hanging="360"/>
      <w:contextualSpacing/>
    </w:pPr>
  </w:style>
  <w:style w:type="paragraph" w:styleId="ListBullet3">
    <w:name w:val="List Bullet 3"/>
    <w:basedOn w:val="Normal"/>
    <w:uiPriority w:val="99"/>
    <w:semiHidden/>
    <w:unhideWhenUsed/>
    <w:locked/>
    <w:rsid w:val="00266C2E"/>
    <w:pPr>
      <w:tabs>
        <w:tab w:val="num" w:pos="926"/>
      </w:tabs>
      <w:ind w:left="926" w:hanging="360"/>
      <w:contextualSpacing/>
    </w:pPr>
  </w:style>
  <w:style w:type="paragraph" w:styleId="ListNumber">
    <w:name w:val="List Number"/>
    <w:basedOn w:val="Normal"/>
    <w:uiPriority w:val="99"/>
    <w:semiHidden/>
    <w:unhideWhenUsed/>
    <w:qFormat/>
    <w:locked/>
    <w:rsid w:val="00266C2E"/>
    <w:pPr>
      <w:tabs>
        <w:tab w:val="num" w:pos="360"/>
      </w:tabs>
      <w:ind w:left="360" w:hanging="360"/>
      <w:contextualSpacing/>
    </w:pPr>
  </w:style>
  <w:style w:type="paragraph" w:styleId="ListNumber2">
    <w:name w:val="List Number 2"/>
    <w:basedOn w:val="Normal"/>
    <w:uiPriority w:val="99"/>
    <w:semiHidden/>
    <w:unhideWhenUsed/>
    <w:qFormat/>
    <w:locked/>
    <w:rsid w:val="00266C2E"/>
    <w:pPr>
      <w:tabs>
        <w:tab w:val="num" w:pos="643"/>
      </w:tabs>
      <w:ind w:left="643" w:hanging="360"/>
      <w:contextualSpacing/>
    </w:pPr>
  </w:style>
  <w:style w:type="paragraph" w:styleId="ListNumber3">
    <w:name w:val="List Number 3"/>
    <w:basedOn w:val="Normal"/>
    <w:uiPriority w:val="99"/>
    <w:semiHidden/>
    <w:unhideWhenUsed/>
    <w:qFormat/>
    <w:locked/>
    <w:rsid w:val="00266C2E"/>
    <w:pPr>
      <w:tabs>
        <w:tab w:val="num" w:pos="926"/>
      </w:tabs>
      <w:ind w:left="926" w:hanging="360"/>
      <w:contextualSpacing/>
    </w:pPr>
  </w:style>
  <w:style w:type="paragraph" w:styleId="ListNumber4">
    <w:name w:val="List Number 4"/>
    <w:basedOn w:val="Normal"/>
    <w:uiPriority w:val="99"/>
    <w:semiHidden/>
    <w:unhideWhenUsed/>
    <w:locked/>
    <w:rsid w:val="00266C2E"/>
    <w:pPr>
      <w:tabs>
        <w:tab w:val="num" w:pos="1209"/>
      </w:tabs>
      <w:ind w:left="1209" w:hanging="360"/>
      <w:contextualSpacing/>
    </w:pPr>
  </w:style>
  <w:style w:type="paragraph" w:customStyle="1" w:styleId="LetterSubject">
    <w:name w:val="Letter Subject"/>
    <w:next w:val="Normal"/>
    <w:uiPriority w:val="99"/>
    <w:semiHidden/>
    <w:rsid w:val="00095532"/>
    <w:pPr>
      <w:spacing w:after="480"/>
    </w:pPr>
    <w:rPr>
      <w:rFonts w:eastAsiaTheme="majorEastAsia" w:cstheme="majorBidi"/>
      <w:b/>
      <w:szCs w:val="32"/>
    </w:rPr>
  </w:style>
  <w:style w:type="paragraph" w:customStyle="1" w:styleId="ProjectDetails">
    <w:name w:val="Project Details"/>
    <w:basedOn w:val="Normal"/>
    <w:next w:val="Normal"/>
    <w:uiPriority w:val="99"/>
    <w:semiHidden/>
    <w:qFormat/>
    <w:rsid w:val="00095532"/>
    <w:pPr>
      <w:spacing w:after="480"/>
      <w:contextualSpacing/>
    </w:pPr>
    <w:rPr>
      <w:rFonts w:eastAsiaTheme="majorEastAsia" w:cstheme="majorBidi"/>
      <w:szCs w:val="32"/>
    </w:rPr>
  </w:style>
  <w:style w:type="paragraph" w:customStyle="1" w:styleId="RecipientDetails">
    <w:name w:val="Recipient Details"/>
    <w:basedOn w:val="Normal"/>
    <w:uiPriority w:val="99"/>
    <w:semiHidden/>
    <w:qFormat/>
    <w:rsid w:val="00095532"/>
    <w:pPr>
      <w:spacing w:before="240" w:after="240"/>
      <w:contextualSpacing/>
    </w:pPr>
  </w:style>
  <w:style w:type="paragraph" w:customStyle="1" w:styleId="LetterDate">
    <w:name w:val="Letter Date"/>
    <w:basedOn w:val="Normal"/>
    <w:uiPriority w:val="99"/>
    <w:semiHidden/>
    <w:rsid w:val="00095532"/>
    <w:pPr>
      <w:spacing w:after="240"/>
    </w:pPr>
  </w:style>
  <w:style w:type="paragraph" w:customStyle="1" w:styleId="Copies">
    <w:name w:val="Copies"/>
    <w:basedOn w:val="BodyText"/>
    <w:uiPriority w:val="99"/>
    <w:semiHidden/>
    <w:qFormat/>
    <w:rsid w:val="00095532"/>
    <w:pPr>
      <w:ind w:left="1134" w:hanging="1134"/>
    </w:pPr>
  </w:style>
  <w:style w:type="paragraph" w:customStyle="1" w:styleId="SenderDetails">
    <w:name w:val="Sender Details"/>
    <w:basedOn w:val="Normal"/>
    <w:next w:val="BodyText"/>
    <w:uiPriority w:val="99"/>
    <w:semiHidden/>
    <w:qFormat/>
    <w:rsid w:val="00095532"/>
    <w:pPr>
      <w:spacing w:before="180" w:after="60" w:line="240" w:lineRule="auto"/>
      <w:contextualSpacing/>
    </w:pPr>
  </w:style>
  <w:style w:type="paragraph" w:customStyle="1" w:styleId="SenderContactDetails">
    <w:name w:val="Sender Contact Details"/>
    <w:basedOn w:val="Normal"/>
    <w:next w:val="BodyText"/>
    <w:uiPriority w:val="99"/>
    <w:semiHidden/>
    <w:qFormat/>
    <w:rsid w:val="00095532"/>
    <w:pPr>
      <w:spacing w:before="180" w:after="60"/>
      <w:contextualSpacing/>
    </w:pPr>
    <w:rPr>
      <w:sz w:val="16"/>
    </w:rPr>
  </w:style>
  <w:style w:type="paragraph" w:customStyle="1" w:styleId="CVResumeBullet2ndLevel">
    <w:name w:val="CV Resume Bullet 2nd Level"/>
    <w:basedOn w:val="CVResumeBullet"/>
    <w:uiPriority w:val="99"/>
    <w:semiHidden/>
    <w:rsid w:val="00095532"/>
    <w:pPr>
      <w:numPr>
        <w:numId w:val="24"/>
      </w:numPr>
      <w:ind w:left="340" w:hanging="170"/>
    </w:pPr>
  </w:style>
  <w:style w:type="paragraph" w:customStyle="1" w:styleId="CVResumeSubcategoryHeading">
    <w:name w:val="CV Resume Subcategory Heading"/>
    <w:basedOn w:val="Normal"/>
    <w:next w:val="Normal"/>
    <w:uiPriority w:val="99"/>
    <w:semiHidden/>
    <w:rsid w:val="00095532"/>
    <w:pPr>
      <w:spacing w:before="120" w:after="120"/>
    </w:pPr>
    <w:rPr>
      <w:color w:val="333333"/>
      <w:sz w:val="22"/>
    </w:rPr>
  </w:style>
  <w:style w:type="paragraph" w:customStyle="1" w:styleId="CVResumeTableText">
    <w:name w:val="CV Resume Table Text"/>
    <w:basedOn w:val="Normal"/>
    <w:uiPriority w:val="99"/>
    <w:semiHidden/>
    <w:rsid w:val="00095532"/>
    <w:pPr>
      <w:spacing w:after="60"/>
    </w:pPr>
    <w:rPr>
      <w:rFonts w:ascii="Jacobs Chronos Light" w:hAnsi="Jacobs Chronos Light"/>
    </w:rPr>
  </w:style>
  <w:style w:type="paragraph" w:customStyle="1" w:styleId="CVResumeName">
    <w:name w:val="CV Resume Name"/>
    <w:uiPriority w:val="99"/>
    <w:semiHidden/>
    <w:rsid w:val="00095532"/>
    <w:pPr>
      <w:spacing w:after="120"/>
    </w:pPr>
    <w:rPr>
      <w:rFonts w:cs="Jacobs Chronos"/>
      <w:b/>
      <w:color w:val="231EDC" w:themeColor="accent1"/>
      <w:sz w:val="32"/>
      <w:szCs w:val="24"/>
    </w:rPr>
  </w:style>
  <w:style w:type="paragraph" w:customStyle="1" w:styleId="CVResumeTitleRole">
    <w:name w:val="CV Resume Title Role"/>
    <w:next w:val="CVResumeHeading"/>
    <w:uiPriority w:val="99"/>
    <w:semiHidden/>
    <w:rsid w:val="00095532"/>
    <w:rPr>
      <w:rFonts w:cs="Jacobs Chronos"/>
      <w:sz w:val="28"/>
      <w:szCs w:val="24"/>
    </w:rPr>
  </w:style>
  <w:style w:type="paragraph" w:customStyle="1" w:styleId="CVResumeBullet">
    <w:name w:val="CV Resume Bullet"/>
    <w:basedOn w:val="CVResumeTableText"/>
    <w:uiPriority w:val="99"/>
    <w:semiHidden/>
    <w:qFormat/>
    <w:rsid w:val="00095532"/>
    <w:pPr>
      <w:numPr>
        <w:numId w:val="23"/>
      </w:numPr>
      <w:ind w:left="170" w:hanging="170"/>
    </w:pPr>
    <w:rPr>
      <w:rFonts w:asciiTheme="minorHAnsi" w:hAnsiTheme="minorHAnsi"/>
    </w:rPr>
  </w:style>
  <w:style w:type="paragraph" w:customStyle="1" w:styleId="CVResumeTableHeading">
    <w:name w:val="CV Resume Table Heading"/>
    <w:basedOn w:val="CVResumeTableText"/>
    <w:next w:val="CVResumeTableText"/>
    <w:uiPriority w:val="99"/>
    <w:semiHidden/>
    <w:rsid w:val="00095532"/>
    <w:rPr>
      <w:rFonts w:asciiTheme="minorHAnsi" w:hAnsiTheme="minorHAnsi" w:cs="Jacobs Chronos Light"/>
      <w:b/>
      <w:color w:val="333333" w:themeColor="text2"/>
    </w:rPr>
  </w:style>
  <w:style w:type="paragraph" w:customStyle="1" w:styleId="CVResumeHeading">
    <w:name w:val="CV Resume Heading"/>
    <w:next w:val="BodyText"/>
    <w:uiPriority w:val="99"/>
    <w:semiHidden/>
    <w:qFormat/>
    <w:rsid w:val="00095532"/>
    <w:pPr>
      <w:spacing w:before="120" w:after="120"/>
    </w:pPr>
    <w:rPr>
      <w:rFonts w:asciiTheme="minorHAnsi" w:hAnsiTheme="minorHAnsi" w:cs="Jacobs Chronos Light"/>
      <w:color w:val="231EDC" w:themeColor="accent1"/>
      <w:sz w:val="24"/>
      <w:szCs w:val="24"/>
    </w:rPr>
  </w:style>
  <w:style w:type="paragraph" w:customStyle="1" w:styleId="CVResumeProjectHeading">
    <w:name w:val="CV Resume Project Heading"/>
    <w:next w:val="BodyText"/>
    <w:uiPriority w:val="99"/>
    <w:semiHidden/>
    <w:rsid w:val="00095532"/>
    <w:pPr>
      <w:spacing w:before="180" w:after="120"/>
    </w:pPr>
    <w:rPr>
      <w:rFonts w:asciiTheme="minorHAnsi" w:hAnsiTheme="minorHAnsi" w:cs="Jacobs Chronos"/>
      <w:b/>
      <w:color w:val="231EDC" w:themeColor="accent1"/>
      <w:sz w:val="22"/>
      <w:szCs w:val="24"/>
    </w:rPr>
  </w:style>
  <w:style w:type="paragraph" w:customStyle="1" w:styleId="AddressText">
    <w:name w:val="Address Text"/>
    <w:basedOn w:val="TableText"/>
    <w:uiPriority w:val="99"/>
    <w:semiHidden/>
    <w:qFormat/>
    <w:rsid w:val="00095532"/>
    <w:pPr>
      <w:spacing w:before="60" w:after="60"/>
    </w:pPr>
  </w:style>
  <w:style w:type="paragraph" w:customStyle="1" w:styleId="PhotologNumber">
    <w:name w:val="Photolog Number"/>
    <w:basedOn w:val="BodyText"/>
    <w:uiPriority w:val="7"/>
    <w:rsid w:val="00095532"/>
    <w:pPr>
      <w:numPr>
        <w:numId w:val="27"/>
      </w:numPr>
    </w:pPr>
    <w:rPr>
      <w:rFonts w:eastAsiaTheme="minorHAnsi"/>
      <w:b/>
    </w:rPr>
  </w:style>
  <w:style w:type="numbering" w:customStyle="1" w:styleId="PhotologNumberList">
    <w:name w:val="Photolog Number List"/>
    <w:uiPriority w:val="99"/>
    <w:semiHidden/>
    <w:rsid w:val="00095532"/>
    <w:pPr>
      <w:numPr>
        <w:numId w:val="25"/>
      </w:numPr>
    </w:pPr>
  </w:style>
  <w:style w:type="paragraph" w:customStyle="1" w:styleId="CapabilityBullet">
    <w:name w:val="Capability Bullet"/>
    <w:uiPriority w:val="99"/>
    <w:semiHidden/>
    <w:qFormat/>
    <w:rsid w:val="00095532"/>
    <w:pPr>
      <w:numPr>
        <w:numId w:val="32"/>
      </w:numPr>
      <w:spacing w:before="40" w:after="40"/>
    </w:pPr>
    <w:rPr>
      <w:rFonts w:cs="Jacobs Chronos"/>
      <w:szCs w:val="24"/>
    </w:rPr>
  </w:style>
  <w:style w:type="paragraph" w:customStyle="1" w:styleId="CapabilityBullet2ndLevel">
    <w:name w:val="Capability Bullet 2nd Level"/>
    <w:basedOn w:val="CapabilityBullet"/>
    <w:uiPriority w:val="99"/>
    <w:semiHidden/>
    <w:rsid w:val="00095532"/>
    <w:pPr>
      <w:numPr>
        <w:ilvl w:val="1"/>
      </w:numPr>
    </w:pPr>
  </w:style>
  <w:style w:type="numbering" w:customStyle="1" w:styleId="CapabilityBullets">
    <w:name w:val="Capability Bullets"/>
    <w:uiPriority w:val="99"/>
    <w:semiHidden/>
    <w:rsid w:val="00095532"/>
    <w:pPr>
      <w:numPr>
        <w:numId w:val="32"/>
      </w:numPr>
    </w:pPr>
  </w:style>
  <w:style w:type="paragraph" w:customStyle="1" w:styleId="ProjectBullet">
    <w:name w:val="Project Bullet"/>
    <w:uiPriority w:val="99"/>
    <w:semiHidden/>
    <w:qFormat/>
    <w:rsid w:val="00095532"/>
    <w:pPr>
      <w:numPr>
        <w:numId w:val="26"/>
      </w:numPr>
      <w:spacing w:after="60"/>
    </w:pPr>
    <w:rPr>
      <w:rFonts w:cs="Jacobs Chronos"/>
      <w:szCs w:val="24"/>
    </w:rPr>
  </w:style>
  <w:style w:type="paragraph" w:customStyle="1" w:styleId="ProjectBullet2ndLevel">
    <w:name w:val="Project Bullet 2nd Level"/>
    <w:basedOn w:val="ProjectBullet"/>
    <w:uiPriority w:val="99"/>
    <w:semiHidden/>
    <w:rsid w:val="00095532"/>
    <w:pPr>
      <w:numPr>
        <w:ilvl w:val="1"/>
      </w:numPr>
    </w:pPr>
  </w:style>
  <w:style w:type="numbering" w:customStyle="1" w:styleId="ProjectBullets">
    <w:name w:val="Project Bullets"/>
    <w:uiPriority w:val="99"/>
    <w:semiHidden/>
    <w:rsid w:val="00095532"/>
    <w:pPr>
      <w:numPr>
        <w:numId w:val="26"/>
      </w:numPr>
    </w:pPr>
  </w:style>
  <w:style w:type="numbering" w:customStyle="1" w:styleId="SingleSequentialNumbering">
    <w:name w:val="Single Sequential Numbering"/>
    <w:uiPriority w:val="99"/>
    <w:semiHidden/>
    <w:rsid w:val="00095532"/>
    <w:pPr>
      <w:numPr>
        <w:numId w:val="28"/>
      </w:numPr>
    </w:pPr>
  </w:style>
  <w:style w:type="paragraph" w:customStyle="1" w:styleId="SourceCitation0">
    <w:name w:val="Source/Citation"/>
    <w:basedOn w:val="Normal"/>
    <w:next w:val="BodyText"/>
    <w:uiPriority w:val="8"/>
    <w:qFormat/>
    <w:rsid w:val="00095532"/>
    <w:pPr>
      <w:spacing w:before="40" w:after="40"/>
    </w:pPr>
    <w:rPr>
      <w:rFonts w:asciiTheme="minorHAnsi" w:hAnsiTheme="minorHAnsi"/>
      <w:i/>
      <w:sz w:val="18"/>
    </w:rPr>
  </w:style>
  <w:style w:type="paragraph" w:customStyle="1" w:styleId="CoverDate">
    <w:name w:val="Cover Date"/>
    <w:basedOn w:val="CoverInformation"/>
    <w:uiPriority w:val="99"/>
    <w:semiHidden/>
    <w:qFormat/>
    <w:rsid w:val="00095532"/>
    <w:pPr>
      <w:spacing w:before="1080"/>
      <w:contextualSpacing w:val="0"/>
      <w:jc w:val="right"/>
    </w:pPr>
  </w:style>
  <w:style w:type="paragraph" w:customStyle="1" w:styleId="CaptionNote">
    <w:name w:val="Caption Note"/>
    <w:basedOn w:val="Normal"/>
    <w:next w:val="BodyText"/>
    <w:uiPriority w:val="99"/>
    <w:semiHidden/>
    <w:rsid w:val="00095532"/>
    <w:pPr>
      <w:keepNext/>
      <w:spacing w:before="40" w:after="40"/>
    </w:pPr>
    <w:rPr>
      <w:rFonts w:asciiTheme="minorHAnsi" w:hAnsiTheme="minorHAnsi"/>
      <w:i/>
    </w:rPr>
  </w:style>
  <w:style w:type="paragraph" w:customStyle="1" w:styleId="PictureCaption">
    <w:name w:val="Picture Caption"/>
    <w:basedOn w:val="FigureCaption"/>
    <w:next w:val="BodyText"/>
    <w:uiPriority w:val="99"/>
    <w:semiHidden/>
    <w:rsid w:val="00095532"/>
  </w:style>
  <w:style w:type="paragraph" w:customStyle="1" w:styleId="Classification">
    <w:name w:val="Classification"/>
    <w:basedOn w:val="HeaderSpacer"/>
    <w:uiPriority w:val="99"/>
    <w:semiHidden/>
    <w:rsid w:val="00095532"/>
    <w:pPr>
      <w:jc w:val="center"/>
    </w:pPr>
  </w:style>
  <w:style w:type="paragraph" w:customStyle="1" w:styleId="ProjectHeading">
    <w:name w:val="Project Heading"/>
    <w:next w:val="Normal"/>
    <w:uiPriority w:val="99"/>
    <w:semiHidden/>
    <w:qFormat/>
    <w:rsid w:val="00095532"/>
    <w:pPr>
      <w:spacing w:before="120" w:after="120"/>
    </w:pPr>
    <w:rPr>
      <w:rFonts w:asciiTheme="minorHAnsi" w:hAnsiTheme="minorHAnsi" w:cs="Jacobs Chronos Light"/>
      <w:color w:val="231EDC" w:themeColor="accent1"/>
      <w:sz w:val="24"/>
    </w:rPr>
  </w:style>
  <w:style w:type="paragraph" w:customStyle="1" w:styleId="EgressHeaderStyleInternalOnlyIdOffice">
    <w:name w:val="EgressHeaderStyleInternalOnlyIdOffice"/>
    <w:basedOn w:val="Normal"/>
    <w:uiPriority w:val="99"/>
    <w:semiHidden/>
    <w:rsid w:val="00095532"/>
    <w:pPr>
      <w:spacing w:line="240" w:lineRule="auto"/>
      <w:jc w:val="center"/>
    </w:pPr>
    <w:rPr>
      <w:rFonts w:ascii="Arial" w:hAnsi="Arial" w:cs="Arial"/>
      <w:b/>
      <w:color w:val="000000"/>
      <w:sz w:val="24"/>
    </w:rPr>
  </w:style>
  <w:style w:type="paragraph" w:customStyle="1" w:styleId="EgressFooterStyleInternalOnlyIdOffice">
    <w:name w:val="EgressFooterStyleInternalOnlyIdOffice"/>
    <w:basedOn w:val="Normal"/>
    <w:uiPriority w:val="99"/>
    <w:semiHidden/>
    <w:rsid w:val="00095532"/>
    <w:pPr>
      <w:spacing w:line="240" w:lineRule="auto"/>
      <w:jc w:val="center"/>
    </w:pPr>
    <w:rPr>
      <w:rFonts w:ascii="Arial" w:hAnsi="Arial" w:cs="Arial"/>
      <w:b/>
      <w:color w:val="000000"/>
      <w:sz w:val="24"/>
    </w:rPr>
  </w:style>
  <w:style w:type="table" w:customStyle="1" w:styleId="JacobsTable1accentprimarythemes">
    <w:name w:val="Jacobs Table 1 (accent &amp; primary themes)"/>
    <w:basedOn w:val="TableNormal"/>
    <w:uiPriority w:val="99"/>
    <w:rsid w:val="00095532"/>
    <w:pPr>
      <w:spacing w:before="40" w:after="40"/>
    </w:pPr>
    <w:rPr>
      <w:rFonts w:asciiTheme="minorHAnsi" w:hAnsiTheme="minorHAnsi"/>
      <w:sz w:val="18"/>
    </w:rPr>
    <w:tblPr>
      <w:tblBorders>
        <w:top w:val="single" w:sz="4" w:space="0" w:color="231EDC" w:themeColor="accent1"/>
        <w:bottom w:val="single" w:sz="4" w:space="0" w:color="231EDC" w:themeColor="accent1"/>
        <w:insideH w:val="single" w:sz="4" w:space="0" w:color="231EDC" w:themeColor="accent1"/>
        <w:insideV w:val="single" w:sz="4" w:space="0" w:color="231EDC" w:themeColor="accent1"/>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231EDC" w:themeFill="accent1"/>
      </w:tcPr>
    </w:tblStylePr>
  </w:style>
  <w:style w:type="table" w:customStyle="1" w:styleId="JacobsTable2accentthemes">
    <w:name w:val="Jacobs Table 2 (accent themes)"/>
    <w:basedOn w:val="TableNormal"/>
    <w:uiPriority w:val="99"/>
    <w:rsid w:val="00095532"/>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001E55" w:themeFill="accent4"/>
      </w:tcPr>
    </w:tblStylePr>
    <w:tblStylePr w:type="firstCol">
      <w:rPr>
        <w:b/>
        <w:color w:val="FFFFFF" w:themeColor="background1"/>
      </w:rPr>
      <w:tblPr/>
      <w:tcPr>
        <w:shd w:val="clear" w:color="auto" w:fill="231EDC"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3accentthemes">
    <w:name w:val="Jacobs Table 3 (accent themes)"/>
    <w:basedOn w:val="TableNormal"/>
    <w:uiPriority w:val="99"/>
    <w:rsid w:val="00095532"/>
    <w:pPr>
      <w:spacing w:before="40" w:after="40"/>
    </w:pPr>
    <w:rPr>
      <w:rFonts w:asciiTheme="minorHAnsi" w:hAnsiTheme="minorHAnsi"/>
      <w:sz w:val="18"/>
    </w:rPr>
    <w:tblPr>
      <w:tblStyleRowBandSize w:val="1"/>
      <w:tblBorders>
        <w:top w:val="single" w:sz="4" w:space="0" w:color="5AE6FF" w:themeColor="accent3"/>
        <w:bottom w:val="single" w:sz="4" w:space="0" w:color="5AE6FF" w:themeColor="accent3"/>
        <w:insideH w:val="single" w:sz="4" w:space="0" w:color="5AE6FF" w:themeColor="accent3"/>
        <w:insideV w:val="single" w:sz="4" w:space="0" w:color="5AE6FF" w:themeColor="accent3"/>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tcBorders>
          <w:top w:val="nil"/>
          <w:left w:val="nil"/>
          <w:bottom w:val="nil"/>
          <w:right w:val="nil"/>
          <w:insideH w:val="nil"/>
          <w:insideV w:val="nil"/>
          <w:tl2br w:val="nil"/>
          <w:tr2bl w:val="nil"/>
        </w:tcBorders>
        <w:shd w:val="clear" w:color="auto" w:fill="001E55" w:themeFill="accent4"/>
      </w:tcPr>
    </w:tblStylePr>
    <w:tblStylePr w:type="band1Horz">
      <w:tblPr/>
      <w:tcPr>
        <w:tcBorders>
          <w:insideV w:val="single" w:sz="4" w:space="0" w:color="FFFFFF" w:themeColor="background1"/>
        </w:tcBorders>
        <w:shd w:val="clear" w:color="auto" w:fill="5AE6FF" w:themeFill="accent3"/>
      </w:tcPr>
    </w:tblStylePr>
  </w:style>
  <w:style w:type="table" w:customStyle="1" w:styleId="JacobsTable2primarythemes">
    <w:name w:val="Jacobs Table 2 (primary themes)"/>
    <w:basedOn w:val="TableNormal"/>
    <w:uiPriority w:val="99"/>
    <w:rsid w:val="00095532"/>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shd w:val="clear" w:color="auto" w:fill="000000" w:themeFill="text1"/>
      </w:tcPr>
    </w:tblStylePr>
    <w:tblStylePr w:type="firstCol">
      <w:rPr>
        <w:b/>
        <w:color w:val="FFFFFF" w:themeColor="background1"/>
      </w:rPr>
      <w:tblPr/>
      <w:tcPr>
        <w:shd w:val="clear" w:color="auto" w:fill="231EDC"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3primarythemes">
    <w:name w:val="Jacobs Table 3 (primary themes)"/>
    <w:basedOn w:val="TableNormal"/>
    <w:uiPriority w:val="99"/>
    <w:rsid w:val="00095532"/>
    <w:pPr>
      <w:spacing w:before="40" w:after="40"/>
    </w:pPr>
    <w:rPr>
      <w:rFonts w:asciiTheme="minorHAnsi" w:hAnsiTheme="minorHAnsi"/>
      <w:sz w:val="18"/>
    </w:rPr>
    <w:tblPr>
      <w:tblStyleRowBandSize w:val="1"/>
      <w:tblBorders>
        <w:top w:val="single" w:sz="4" w:space="0" w:color="231EDC" w:themeColor="accent1"/>
        <w:bottom w:val="single" w:sz="4" w:space="0" w:color="231EDC" w:themeColor="accent1"/>
        <w:insideH w:val="single" w:sz="4" w:space="0" w:color="231EDC" w:themeColor="accent1"/>
        <w:insideV w:val="single" w:sz="4" w:space="0" w:color="231EDC" w:themeColor="accent1"/>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nil"/>
          <w:left w:val="nil"/>
          <w:bottom w:val="nil"/>
          <w:right w:val="nil"/>
          <w:insideH w:val="nil"/>
          <w:insideV w:val="nil"/>
          <w:tl2br w:val="nil"/>
          <w:tr2bl w:val="nil"/>
        </w:tcBorders>
        <w:shd w:val="clear" w:color="auto" w:fill="231EDC" w:themeFill="accent1"/>
      </w:tcPr>
    </w:tblStylePr>
    <w:tblStylePr w:type="band1Horz">
      <w:tblPr/>
      <w:tcPr>
        <w:shd w:val="clear" w:color="auto" w:fill="E6E6E6" w:themeFill="background2"/>
      </w:tcPr>
    </w:tblStylePr>
  </w:style>
  <w:style w:type="paragraph" w:customStyle="1" w:styleId="InstructionNumber">
    <w:name w:val="Instruction Number"/>
    <w:basedOn w:val="InstructionText"/>
    <w:uiPriority w:val="99"/>
    <w:semiHidden/>
    <w:qFormat/>
    <w:rsid w:val="00095532"/>
    <w:pPr>
      <w:numPr>
        <w:numId w:val="33"/>
      </w:numPr>
    </w:pPr>
  </w:style>
  <w:style w:type="paragraph" w:customStyle="1" w:styleId="InstructionBullet">
    <w:name w:val="Instruction Bullet"/>
    <w:basedOn w:val="InstructionText"/>
    <w:uiPriority w:val="99"/>
    <w:semiHidden/>
    <w:qFormat/>
    <w:rsid w:val="00095532"/>
    <w:pPr>
      <w:numPr>
        <w:ilvl w:val="1"/>
        <w:numId w:val="33"/>
      </w:numPr>
    </w:pPr>
  </w:style>
  <w:style w:type="numbering" w:customStyle="1" w:styleId="InstructionNumbering">
    <w:name w:val="Instruction Numbering"/>
    <w:uiPriority w:val="99"/>
    <w:semiHidden/>
    <w:rsid w:val="00095532"/>
    <w:pPr>
      <w:numPr>
        <w:numId w:val="33"/>
      </w:numPr>
    </w:pPr>
  </w:style>
  <w:style w:type="paragraph" w:customStyle="1" w:styleId="ProjectTableText">
    <w:name w:val="Project Table Text"/>
    <w:uiPriority w:val="99"/>
    <w:semiHidden/>
    <w:qFormat/>
    <w:rsid w:val="00095532"/>
    <w:rPr>
      <w:rFonts w:asciiTheme="minorHAnsi" w:hAnsiTheme="minorHAnsi"/>
    </w:rPr>
  </w:style>
  <w:style w:type="paragraph" w:customStyle="1" w:styleId="ProjectName">
    <w:name w:val="Project Name"/>
    <w:uiPriority w:val="99"/>
    <w:semiHidden/>
    <w:rsid w:val="00095532"/>
    <w:pPr>
      <w:spacing w:after="120"/>
    </w:pPr>
    <w:rPr>
      <w:rFonts w:cs="Jacobs Chronos"/>
      <w:b/>
      <w:color w:val="231EDC" w:themeColor="accent1"/>
      <w:sz w:val="32"/>
    </w:rPr>
  </w:style>
  <w:style w:type="paragraph" w:customStyle="1" w:styleId="ProjectLocation">
    <w:name w:val="Project Location"/>
    <w:next w:val="BodyText"/>
    <w:uiPriority w:val="99"/>
    <w:semiHidden/>
    <w:rsid w:val="00095532"/>
    <w:rPr>
      <w:rFonts w:cs="Jacobs Chronos"/>
      <w:sz w:val="28"/>
    </w:rPr>
  </w:style>
  <w:style w:type="paragraph" w:customStyle="1" w:styleId="ProjectSubcategoryHeading">
    <w:name w:val="Project Subcategory Heading"/>
    <w:next w:val="BodyText"/>
    <w:uiPriority w:val="99"/>
    <w:semiHidden/>
    <w:rsid w:val="00095532"/>
    <w:pPr>
      <w:spacing w:before="120" w:after="120"/>
    </w:pPr>
    <w:rPr>
      <w:rFonts w:cs="Jacobs Chronos"/>
      <w:color w:val="333333"/>
      <w:sz w:val="22"/>
    </w:rPr>
  </w:style>
  <w:style w:type="paragraph" w:customStyle="1" w:styleId="ProjectTableHeading">
    <w:name w:val="Project Table Heading"/>
    <w:basedOn w:val="Normal"/>
    <w:next w:val="Normal"/>
    <w:uiPriority w:val="99"/>
    <w:semiHidden/>
    <w:rsid w:val="00095532"/>
    <w:pPr>
      <w:spacing w:after="60"/>
    </w:pPr>
    <w:rPr>
      <w:rFonts w:asciiTheme="minorHAnsi" w:hAnsiTheme="minorHAnsi" w:cs="Jacobs Chronos Light"/>
      <w:b/>
      <w:color w:val="333333" w:themeColor="text2"/>
    </w:rPr>
  </w:style>
  <w:style w:type="paragraph" w:customStyle="1" w:styleId="CapabilityWhitePaperTitle">
    <w:name w:val="Capability White Paper Title"/>
    <w:uiPriority w:val="99"/>
    <w:semiHidden/>
    <w:rsid w:val="00095532"/>
    <w:pPr>
      <w:spacing w:after="120"/>
      <w:outlineLvl w:val="0"/>
    </w:pPr>
    <w:rPr>
      <w:rFonts w:cs="Jacobs Chronos"/>
      <w:b/>
      <w:color w:val="231EDC" w:themeColor="accent1"/>
      <w:sz w:val="32"/>
      <w:szCs w:val="22"/>
    </w:rPr>
  </w:style>
  <w:style w:type="paragraph" w:customStyle="1" w:styleId="MarketSectorHeading">
    <w:name w:val="Market Sector Heading"/>
    <w:basedOn w:val="Normal"/>
    <w:next w:val="BodyText"/>
    <w:uiPriority w:val="99"/>
    <w:semiHidden/>
    <w:rsid w:val="00095532"/>
    <w:pPr>
      <w:spacing w:before="120" w:after="240"/>
    </w:pPr>
    <w:rPr>
      <w:sz w:val="28"/>
      <w:szCs w:val="22"/>
    </w:rPr>
  </w:style>
  <w:style w:type="paragraph" w:customStyle="1" w:styleId="SubHeading2">
    <w:name w:val="Sub Heading 2"/>
    <w:next w:val="BodyText"/>
    <w:uiPriority w:val="99"/>
    <w:semiHidden/>
    <w:rsid w:val="00095532"/>
    <w:pPr>
      <w:spacing w:before="240" w:after="120"/>
      <w:outlineLvl w:val="1"/>
    </w:pPr>
    <w:rPr>
      <w:rFonts w:cs="Jacobs Chronos Light"/>
      <w:color w:val="333333"/>
      <w:sz w:val="22"/>
      <w:szCs w:val="22"/>
    </w:rPr>
  </w:style>
  <w:style w:type="paragraph" w:customStyle="1" w:styleId="SubHeading">
    <w:name w:val="Sub Heading"/>
    <w:next w:val="Normal"/>
    <w:uiPriority w:val="99"/>
    <w:semiHidden/>
    <w:qFormat/>
    <w:rsid w:val="00095532"/>
    <w:pPr>
      <w:spacing w:before="120" w:after="120"/>
      <w:outlineLvl w:val="0"/>
    </w:pPr>
    <w:rPr>
      <w:rFonts w:asciiTheme="minorHAnsi" w:hAnsiTheme="minorHAnsi" w:cs="Jacobs Chronos Light"/>
      <w:color w:val="231EDC" w:themeColor="accent1"/>
      <w:sz w:val="24"/>
      <w:szCs w:val="22"/>
    </w:rPr>
  </w:style>
  <w:style w:type="paragraph" w:customStyle="1" w:styleId="CapabilityTableHeading">
    <w:name w:val="Capability Table Heading"/>
    <w:basedOn w:val="Normal"/>
    <w:uiPriority w:val="99"/>
    <w:semiHidden/>
    <w:rsid w:val="00095532"/>
    <w:pPr>
      <w:framePr w:hSpace="180" w:wrap="around" w:vAnchor="text" w:hAnchor="text" w:y="-49"/>
      <w:spacing w:before="60" w:after="60"/>
    </w:pPr>
    <w:rPr>
      <w:rFonts w:asciiTheme="minorHAnsi" w:hAnsiTheme="minorHAnsi"/>
      <w:b/>
      <w:szCs w:val="22"/>
    </w:rPr>
  </w:style>
  <w:style w:type="paragraph" w:customStyle="1" w:styleId="CapabilityTableText">
    <w:name w:val="Capability Table Text"/>
    <w:basedOn w:val="BodyText"/>
    <w:uiPriority w:val="99"/>
    <w:semiHidden/>
    <w:rsid w:val="00095532"/>
    <w:pPr>
      <w:spacing w:before="60"/>
    </w:pPr>
    <w:rPr>
      <w:rFonts w:asciiTheme="minorHAnsi" w:hAnsiTheme="minorHAnsi"/>
      <w:szCs w:val="22"/>
    </w:rPr>
  </w:style>
  <w:style w:type="paragraph" w:customStyle="1" w:styleId="AppendixHeading1">
    <w:name w:val="Appendix Heading 1"/>
    <w:basedOn w:val="BodyText"/>
    <w:next w:val="BodyText"/>
    <w:uiPriority w:val="19"/>
    <w:qFormat/>
    <w:rsid w:val="00095532"/>
    <w:pPr>
      <w:keepNext/>
      <w:keepLines/>
      <w:pageBreakBefore/>
      <w:numPr>
        <w:numId w:val="18"/>
      </w:numPr>
      <w:spacing w:before="240" w:after="120"/>
      <w:outlineLvl w:val="0"/>
    </w:pPr>
    <w:rPr>
      <w:b/>
      <w:bCs/>
      <w:color w:val="231EDC" w:themeColor="accent1"/>
      <w:sz w:val="32"/>
      <w:szCs w:val="32"/>
    </w:rPr>
  </w:style>
  <w:style w:type="character" w:customStyle="1" w:styleId="Para0Char">
    <w:name w:val="Para 0 Char"/>
    <w:basedOn w:val="DefaultParagraphFont"/>
    <w:link w:val="Para0"/>
    <w:uiPriority w:val="4"/>
    <w:locked/>
    <w:rsid w:val="000328FC"/>
    <w:rPr>
      <w:rFonts w:ascii="Jacobs Chronos" w:hAnsi="Jacobs Chronos" w:cs="Jacobs Chronos"/>
    </w:rPr>
  </w:style>
  <w:style w:type="paragraph" w:customStyle="1" w:styleId="Para0">
    <w:name w:val="Para 0"/>
    <w:basedOn w:val="Normal"/>
    <w:link w:val="Para0Char"/>
    <w:qFormat/>
    <w:rsid w:val="000328FC"/>
    <w:pPr>
      <w:spacing w:before="240" w:after="120" w:line="240" w:lineRule="atLeast"/>
    </w:pPr>
    <w:rPr>
      <w:rFonts w:ascii="Jacobs Chronos" w:hAnsi="Jacobs Chronos" w:cs="Jacobs Chronos"/>
    </w:rPr>
  </w:style>
  <w:style w:type="paragraph" w:customStyle="1" w:styleId="Figurecaption0">
    <w:name w:val="Figure caption"/>
    <w:basedOn w:val="BodyText"/>
    <w:link w:val="FigurecaptionChar"/>
    <w:uiPriority w:val="99"/>
    <w:qFormat/>
    <w:rsid w:val="00B91CF0"/>
    <w:pPr>
      <w:spacing w:before="360" w:after="60"/>
      <w:ind w:left="227"/>
    </w:pPr>
    <w:rPr>
      <w:rFonts w:asciiTheme="minorHAnsi" w:hAnsiTheme="minorHAnsi"/>
    </w:rPr>
  </w:style>
  <w:style w:type="paragraph" w:customStyle="1" w:styleId="Tabletext0">
    <w:name w:val="Table text"/>
    <w:basedOn w:val="Normal"/>
    <w:uiPriority w:val="14"/>
    <w:qFormat/>
    <w:rsid w:val="007C5275"/>
    <w:pPr>
      <w:spacing w:before="60" w:after="60" w:line="240" w:lineRule="atLeast"/>
    </w:pPr>
    <w:rPr>
      <w:rFonts w:ascii="Jacobs Chronos" w:hAnsi="Jacobs Chronos" w:cs="Jacobs Chronos"/>
      <w:szCs w:val="24"/>
      <w:lang w:eastAsia="en-US"/>
    </w:rPr>
  </w:style>
  <w:style w:type="character" w:customStyle="1" w:styleId="FigurecaptionChar">
    <w:name w:val="Figure caption Char"/>
    <w:basedOn w:val="BodyTextChar"/>
    <w:link w:val="Figurecaption0"/>
    <w:uiPriority w:val="99"/>
    <w:rsid w:val="00B91CF0"/>
    <w:rPr>
      <w:rFonts w:asciiTheme="minorHAnsi" w:hAnsiTheme="minorHAnsi"/>
    </w:rPr>
  </w:style>
  <w:style w:type="table" w:customStyle="1" w:styleId="JacobsBlue">
    <w:name w:val="Jacobs Blue"/>
    <w:basedOn w:val="TableGrid"/>
    <w:uiPriority w:val="99"/>
    <w:rsid w:val="007C5275"/>
    <w:rPr>
      <w:rFonts w:asciiTheme="minorHAnsi" w:hAnsiTheme="minorHAnsi"/>
      <w:sz w:val="24"/>
      <w:szCs w:val="24"/>
      <w:lang w:val="en-US" w:eastAsia="en-US"/>
    </w:rPr>
    <w:tblPr>
      <w:tblStyleRowBandSize w:val="1"/>
      <w:tblStyleColBandSize w:val="1"/>
      <w:tblInd w:w="0" w:type="nil"/>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numbering" w:customStyle="1" w:styleId="JacobsNumberedList12">
    <w:name w:val="Jacobs Numbered List 1.2"/>
    <w:basedOn w:val="NoList"/>
    <w:rsid w:val="00EF7754"/>
    <w:pPr>
      <w:numPr>
        <w:numId w:val="39"/>
      </w:numPr>
    </w:pPr>
  </w:style>
  <w:style w:type="paragraph" w:customStyle="1" w:styleId="Default">
    <w:name w:val="Default"/>
    <w:rsid w:val="000E556F"/>
    <w:pPr>
      <w:suppressAutoHyphens/>
      <w:autoSpaceDE w:val="0"/>
      <w:autoSpaceDN w:val="0"/>
      <w:spacing w:line="240" w:lineRule="auto"/>
      <w:textAlignment w:val="baseline"/>
    </w:pPr>
    <w:rPr>
      <w:rFonts w:ascii="Tahoma" w:eastAsia="Calibri" w:hAnsi="Tahoma" w:cs="Tahoma"/>
      <w:color w:val="000000"/>
      <w:sz w:val="24"/>
      <w:szCs w:val="24"/>
      <w:lang w:eastAsia="en-US"/>
    </w:rPr>
  </w:style>
  <w:style w:type="paragraph" w:customStyle="1" w:styleId="paragraph">
    <w:name w:val="paragraph"/>
    <w:basedOn w:val="Normal"/>
    <w:rsid w:val="00DC6A8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DefaultParagraphFont"/>
    <w:rsid w:val="00DC6A87"/>
  </w:style>
  <w:style w:type="character" w:customStyle="1" w:styleId="eop">
    <w:name w:val="eop"/>
    <w:basedOn w:val="DefaultParagraphFont"/>
    <w:rsid w:val="00DC6A87"/>
  </w:style>
  <w:style w:type="character" w:customStyle="1" w:styleId="findhit">
    <w:name w:val="findhit"/>
    <w:basedOn w:val="DefaultParagraphFont"/>
    <w:rsid w:val="00BE0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6389">
      <w:bodyDiv w:val="1"/>
      <w:marLeft w:val="0"/>
      <w:marRight w:val="0"/>
      <w:marTop w:val="0"/>
      <w:marBottom w:val="0"/>
      <w:divBdr>
        <w:top w:val="none" w:sz="0" w:space="0" w:color="auto"/>
        <w:left w:val="none" w:sz="0" w:space="0" w:color="auto"/>
        <w:bottom w:val="none" w:sz="0" w:space="0" w:color="auto"/>
        <w:right w:val="none" w:sz="0" w:space="0" w:color="auto"/>
      </w:divBdr>
    </w:div>
    <w:div w:id="109280384">
      <w:bodyDiv w:val="1"/>
      <w:marLeft w:val="0"/>
      <w:marRight w:val="0"/>
      <w:marTop w:val="0"/>
      <w:marBottom w:val="0"/>
      <w:divBdr>
        <w:top w:val="none" w:sz="0" w:space="0" w:color="auto"/>
        <w:left w:val="none" w:sz="0" w:space="0" w:color="auto"/>
        <w:bottom w:val="none" w:sz="0" w:space="0" w:color="auto"/>
        <w:right w:val="none" w:sz="0" w:space="0" w:color="auto"/>
      </w:divBdr>
      <w:divsChild>
        <w:div w:id="850686419">
          <w:marLeft w:val="0"/>
          <w:marRight w:val="0"/>
          <w:marTop w:val="0"/>
          <w:marBottom w:val="0"/>
          <w:divBdr>
            <w:top w:val="none" w:sz="0" w:space="0" w:color="auto"/>
            <w:left w:val="none" w:sz="0" w:space="0" w:color="auto"/>
            <w:bottom w:val="none" w:sz="0" w:space="0" w:color="auto"/>
            <w:right w:val="none" w:sz="0" w:space="0" w:color="auto"/>
          </w:divBdr>
          <w:divsChild>
            <w:div w:id="719132388">
              <w:marLeft w:val="0"/>
              <w:marRight w:val="0"/>
              <w:marTop w:val="0"/>
              <w:marBottom w:val="0"/>
              <w:divBdr>
                <w:top w:val="none" w:sz="0" w:space="0" w:color="auto"/>
                <w:left w:val="none" w:sz="0" w:space="0" w:color="auto"/>
                <w:bottom w:val="none" w:sz="0" w:space="0" w:color="auto"/>
                <w:right w:val="none" w:sz="0" w:space="0" w:color="auto"/>
              </w:divBdr>
            </w:div>
          </w:divsChild>
        </w:div>
        <w:div w:id="980497645">
          <w:marLeft w:val="0"/>
          <w:marRight w:val="0"/>
          <w:marTop w:val="0"/>
          <w:marBottom w:val="0"/>
          <w:divBdr>
            <w:top w:val="none" w:sz="0" w:space="0" w:color="auto"/>
            <w:left w:val="none" w:sz="0" w:space="0" w:color="auto"/>
            <w:bottom w:val="none" w:sz="0" w:space="0" w:color="auto"/>
            <w:right w:val="none" w:sz="0" w:space="0" w:color="auto"/>
          </w:divBdr>
          <w:divsChild>
            <w:div w:id="1670405598">
              <w:marLeft w:val="0"/>
              <w:marRight w:val="0"/>
              <w:marTop w:val="0"/>
              <w:marBottom w:val="0"/>
              <w:divBdr>
                <w:top w:val="none" w:sz="0" w:space="0" w:color="auto"/>
                <w:left w:val="none" w:sz="0" w:space="0" w:color="auto"/>
                <w:bottom w:val="none" w:sz="0" w:space="0" w:color="auto"/>
                <w:right w:val="none" w:sz="0" w:space="0" w:color="auto"/>
              </w:divBdr>
            </w:div>
          </w:divsChild>
        </w:div>
        <w:div w:id="1674340258">
          <w:marLeft w:val="0"/>
          <w:marRight w:val="0"/>
          <w:marTop w:val="0"/>
          <w:marBottom w:val="0"/>
          <w:divBdr>
            <w:top w:val="none" w:sz="0" w:space="0" w:color="auto"/>
            <w:left w:val="none" w:sz="0" w:space="0" w:color="auto"/>
            <w:bottom w:val="none" w:sz="0" w:space="0" w:color="auto"/>
            <w:right w:val="none" w:sz="0" w:space="0" w:color="auto"/>
          </w:divBdr>
          <w:divsChild>
            <w:div w:id="149491801">
              <w:marLeft w:val="0"/>
              <w:marRight w:val="0"/>
              <w:marTop w:val="0"/>
              <w:marBottom w:val="0"/>
              <w:divBdr>
                <w:top w:val="none" w:sz="0" w:space="0" w:color="auto"/>
                <w:left w:val="none" w:sz="0" w:space="0" w:color="auto"/>
                <w:bottom w:val="none" w:sz="0" w:space="0" w:color="auto"/>
                <w:right w:val="none" w:sz="0" w:space="0" w:color="auto"/>
              </w:divBdr>
            </w:div>
            <w:div w:id="1152064433">
              <w:marLeft w:val="0"/>
              <w:marRight w:val="0"/>
              <w:marTop w:val="0"/>
              <w:marBottom w:val="0"/>
              <w:divBdr>
                <w:top w:val="none" w:sz="0" w:space="0" w:color="auto"/>
                <w:left w:val="none" w:sz="0" w:space="0" w:color="auto"/>
                <w:bottom w:val="none" w:sz="0" w:space="0" w:color="auto"/>
                <w:right w:val="none" w:sz="0" w:space="0" w:color="auto"/>
              </w:divBdr>
            </w:div>
          </w:divsChild>
        </w:div>
        <w:div w:id="1107701407">
          <w:marLeft w:val="0"/>
          <w:marRight w:val="0"/>
          <w:marTop w:val="0"/>
          <w:marBottom w:val="0"/>
          <w:divBdr>
            <w:top w:val="none" w:sz="0" w:space="0" w:color="auto"/>
            <w:left w:val="none" w:sz="0" w:space="0" w:color="auto"/>
            <w:bottom w:val="none" w:sz="0" w:space="0" w:color="auto"/>
            <w:right w:val="none" w:sz="0" w:space="0" w:color="auto"/>
          </w:divBdr>
          <w:divsChild>
            <w:div w:id="1483933557">
              <w:marLeft w:val="0"/>
              <w:marRight w:val="0"/>
              <w:marTop w:val="0"/>
              <w:marBottom w:val="0"/>
              <w:divBdr>
                <w:top w:val="none" w:sz="0" w:space="0" w:color="auto"/>
                <w:left w:val="none" w:sz="0" w:space="0" w:color="auto"/>
                <w:bottom w:val="none" w:sz="0" w:space="0" w:color="auto"/>
                <w:right w:val="none" w:sz="0" w:space="0" w:color="auto"/>
              </w:divBdr>
            </w:div>
            <w:div w:id="232740168">
              <w:marLeft w:val="0"/>
              <w:marRight w:val="0"/>
              <w:marTop w:val="0"/>
              <w:marBottom w:val="0"/>
              <w:divBdr>
                <w:top w:val="none" w:sz="0" w:space="0" w:color="auto"/>
                <w:left w:val="none" w:sz="0" w:space="0" w:color="auto"/>
                <w:bottom w:val="none" w:sz="0" w:space="0" w:color="auto"/>
                <w:right w:val="none" w:sz="0" w:space="0" w:color="auto"/>
              </w:divBdr>
            </w:div>
          </w:divsChild>
        </w:div>
        <w:div w:id="755589430">
          <w:marLeft w:val="0"/>
          <w:marRight w:val="0"/>
          <w:marTop w:val="0"/>
          <w:marBottom w:val="0"/>
          <w:divBdr>
            <w:top w:val="none" w:sz="0" w:space="0" w:color="auto"/>
            <w:left w:val="none" w:sz="0" w:space="0" w:color="auto"/>
            <w:bottom w:val="none" w:sz="0" w:space="0" w:color="auto"/>
            <w:right w:val="none" w:sz="0" w:space="0" w:color="auto"/>
          </w:divBdr>
          <w:divsChild>
            <w:div w:id="274413536">
              <w:marLeft w:val="0"/>
              <w:marRight w:val="0"/>
              <w:marTop w:val="0"/>
              <w:marBottom w:val="0"/>
              <w:divBdr>
                <w:top w:val="none" w:sz="0" w:space="0" w:color="auto"/>
                <w:left w:val="none" w:sz="0" w:space="0" w:color="auto"/>
                <w:bottom w:val="none" w:sz="0" w:space="0" w:color="auto"/>
                <w:right w:val="none" w:sz="0" w:space="0" w:color="auto"/>
              </w:divBdr>
            </w:div>
          </w:divsChild>
        </w:div>
        <w:div w:id="1595476205">
          <w:marLeft w:val="0"/>
          <w:marRight w:val="0"/>
          <w:marTop w:val="0"/>
          <w:marBottom w:val="0"/>
          <w:divBdr>
            <w:top w:val="none" w:sz="0" w:space="0" w:color="auto"/>
            <w:left w:val="none" w:sz="0" w:space="0" w:color="auto"/>
            <w:bottom w:val="none" w:sz="0" w:space="0" w:color="auto"/>
            <w:right w:val="none" w:sz="0" w:space="0" w:color="auto"/>
          </w:divBdr>
          <w:divsChild>
            <w:div w:id="276252679">
              <w:marLeft w:val="0"/>
              <w:marRight w:val="0"/>
              <w:marTop w:val="0"/>
              <w:marBottom w:val="0"/>
              <w:divBdr>
                <w:top w:val="none" w:sz="0" w:space="0" w:color="auto"/>
                <w:left w:val="none" w:sz="0" w:space="0" w:color="auto"/>
                <w:bottom w:val="none" w:sz="0" w:space="0" w:color="auto"/>
                <w:right w:val="none" w:sz="0" w:space="0" w:color="auto"/>
              </w:divBdr>
            </w:div>
          </w:divsChild>
        </w:div>
        <w:div w:id="2109229706">
          <w:marLeft w:val="0"/>
          <w:marRight w:val="0"/>
          <w:marTop w:val="0"/>
          <w:marBottom w:val="0"/>
          <w:divBdr>
            <w:top w:val="none" w:sz="0" w:space="0" w:color="auto"/>
            <w:left w:val="none" w:sz="0" w:space="0" w:color="auto"/>
            <w:bottom w:val="none" w:sz="0" w:space="0" w:color="auto"/>
            <w:right w:val="none" w:sz="0" w:space="0" w:color="auto"/>
          </w:divBdr>
          <w:divsChild>
            <w:div w:id="1731421623">
              <w:marLeft w:val="0"/>
              <w:marRight w:val="0"/>
              <w:marTop w:val="0"/>
              <w:marBottom w:val="0"/>
              <w:divBdr>
                <w:top w:val="none" w:sz="0" w:space="0" w:color="auto"/>
                <w:left w:val="none" w:sz="0" w:space="0" w:color="auto"/>
                <w:bottom w:val="none" w:sz="0" w:space="0" w:color="auto"/>
                <w:right w:val="none" w:sz="0" w:space="0" w:color="auto"/>
              </w:divBdr>
            </w:div>
            <w:div w:id="1346055131">
              <w:marLeft w:val="0"/>
              <w:marRight w:val="0"/>
              <w:marTop w:val="0"/>
              <w:marBottom w:val="0"/>
              <w:divBdr>
                <w:top w:val="none" w:sz="0" w:space="0" w:color="auto"/>
                <w:left w:val="none" w:sz="0" w:space="0" w:color="auto"/>
                <w:bottom w:val="none" w:sz="0" w:space="0" w:color="auto"/>
                <w:right w:val="none" w:sz="0" w:space="0" w:color="auto"/>
              </w:divBdr>
            </w:div>
          </w:divsChild>
        </w:div>
        <w:div w:id="2061705499">
          <w:marLeft w:val="0"/>
          <w:marRight w:val="0"/>
          <w:marTop w:val="0"/>
          <w:marBottom w:val="0"/>
          <w:divBdr>
            <w:top w:val="none" w:sz="0" w:space="0" w:color="auto"/>
            <w:left w:val="none" w:sz="0" w:space="0" w:color="auto"/>
            <w:bottom w:val="none" w:sz="0" w:space="0" w:color="auto"/>
            <w:right w:val="none" w:sz="0" w:space="0" w:color="auto"/>
          </w:divBdr>
          <w:divsChild>
            <w:div w:id="839466198">
              <w:marLeft w:val="0"/>
              <w:marRight w:val="0"/>
              <w:marTop w:val="0"/>
              <w:marBottom w:val="0"/>
              <w:divBdr>
                <w:top w:val="none" w:sz="0" w:space="0" w:color="auto"/>
                <w:left w:val="none" w:sz="0" w:space="0" w:color="auto"/>
                <w:bottom w:val="none" w:sz="0" w:space="0" w:color="auto"/>
                <w:right w:val="none" w:sz="0" w:space="0" w:color="auto"/>
              </w:divBdr>
            </w:div>
            <w:div w:id="1926256686">
              <w:marLeft w:val="0"/>
              <w:marRight w:val="0"/>
              <w:marTop w:val="0"/>
              <w:marBottom w:val="0"/>
              <w:divBdr>
                <w:top w:val="none" w:sz="0" w:space="0" w:color="auto"/>
                <w:left w:val="none" w:sz="0" w:space="0" w:color="auto"/>
                <w:bottom w:val="none" w:sz="0" w:space="0" w:color="auto"/>
                <w:right w:val="none" w:sz="0" w:space="0" w:color="auto"/>
              </w:divBdr>
            </w:div>
          </w:divsChild>
        </w:div>
        <w:div w:id="768886881">
          <w:marLeft w:val="0"/>
          <w:marRight w:val="0"/>
          <w:marTop w:val="0"/>
          <w:marBottom w:val="0"/>
          <w:divBdr>
            <w:top w:val="none" w:sz="0" w:space="0" w:color="auto"/>
            <w:left w:val="none" w:sz="0" w:space="0" w:color="auto"/>
            <w:bottom w:val="none" w:sz="0" w:space="0" w:color="auto"/>
            <w:right w:val="none" w:sz="0" w:space="0" w:color="auto"/>
          </w:divBdr>
          <w:divsChild>
            <w:div w:id="289555795">
              <w:marLeft w:val="0"/>
              <w:marRight w:val="0"/>
              <w:marTop w:val="0"/>
              <w:marBottom w:val="0"/>
              <w:divBdr>
                <w:top w:val="none" w:sz="0" w:space="0" w:color="auto"/>
                <w:left w:val="none" w:sz="0" w:space="0" w:color="auto"/>
                <w:bottom w:val="none" w:sz="0" w:space="0" w:color="auto"/>
                <w:right w:val="none" w:sz="0" w:space="0" w:color="auto"/>
              </w:divBdr>
            </w:div>
          </w:divsChild>
        </w:div>
        <w:div w:id="932125993">
          <w:marLeft w:val="0"/>
          <w:marRight w:val="0"/>
          <w:marTop w:val="0"/>
          <w:marBottom w:val="0"/>
          <w:divBdr>
            <w:top w:val="none" w:sz="0" w:space="0" w:color="auto"/>
            <w:left w:val="none" w:sz="0" w:space="0" w:color="auto"/>
            <w:bottom w:val="none" w:sz="0" w:space="0" w:color="auto"/>
            <w:right w:val="none" w:sz="0" w:space="0" w:color="auto"/>
          </w:divBdr>
          <w:divsChild>
            <w:div w:id="1590767577">
              <w:marLeft w:val="0"/>
              <w:marRight w:val="0"/>
              <w:marTop w:val="0"/>
              <w:marBottom w:val="0"/>
              <w:divBdr>
                <w:top w:val="none" w:sz="0" w:space="0" w:color="auto"/>
                <w:left w:val="none" w:sz="0" w:space="0" w:color="auto"/>
                <w:bottom w:val="none" w:sz="0" w:space="0" w:color="auto"/>
                <w:right w:val="none" w:sz="0" w:space="0" w:color="auto"/>
              </w:divBdr>
            </w:div>
            <w:div w:id="800996374">
              <w:marLeft w:val="0"/>
              <w:marRight w:val="0"/>
              <w:marTop w:val="0"/>
              <w:marBottom w:val="0"/>
              <w:divBdr>
                <w:top w:val="none" w:sz="0" w:space="0" w:color="auto"/>
                <w:left w:val="none" w:sz="0" w:space="0" w:color="auto"/>
                <w:bottom w:val="none" w:sz="0" w:space="0" w:color="auto"/>
                <w:right w:val="none" w:sz="0" w:space="0" w:color="auto"/>
              </w:divBdr>
            </w:div>
          </w:divsChild>
        </w:div>
        <w:div w:id="667370929">
          <w:marLeft w:val="0"/>
          <w:marRight w:val="0"/>
          <w:marTop w:val="0"/>
          <w:marBottom w:val="0"/>
          <w:divBdr>
            <w:top w:val="none" w:sz="0" w:space="0" w:color="auto"/>
            <w:left w:val="none" w:sz="0" w:space="0" w:color="auto"/>
            <w:bottom w:val="none" w:sz="0" w:space="0" w:color="auto"/>
            <w:right w:val="none" w:sz="0" w:space="0" w:color="auto"/>
          </w:divBdr>
          <w:divsChild>
            <w:div w:id="1050228629">
              <w:marLeft w:val="0"/>
              <w:marRight w:val="0"/>
              <w:marTop w:val="0"/>
              <w:marBottom w:val="0"/>
              <w:divBdr>
                <w:top w:val="none" w:sz="0" w:space="0" w:color="auto"/>
                <w:left w:val="none" w:sz="0" w:space="0" w:color="auto"/>
                <w:bottom w:val="none" w:sz="0" w:space="0" w:color="auto"/>
                <w:right w:val="none" w:sz="0" w:space="0" w:color="auto"/>
              </w:divBdr>
            </w:div>
            <w:div w:id="1898514681">
              <w:marLeft w:val="0"/>
              <w:marRight w:val="0"/>
              <w:marTop w:val="0"/>
              <w:marBottom w:val="0"/>
              <w:divBdr>
                <w:top w:val="none" w:sz="0" w:space="0" w:color="auto"/>
                <w:left w:val="none" w:sz="0" w:space="0" w:color="auto"/>
                <w:bottom w:val="none" w:sz="0" w:space="0" w:color="auto"/>
                <w:right w:val="none" w:sz="0" w:space="0" w:color="auto"/>
              </w:divBdr>
            </w:div>
            <w:div w:id="1116943521">
              <w:marLeft w:val="0"/>
              <w:marRight w:val="0"/>
              <w:marTop w:val="0"/>
              <w:marBottom w:val="0"/>
              <w:divBdr>
                <w:top w:val="none" w:sz="0" w:space="0" w:color="auto"/>
                <w:left w:val="none" w:sz="0" w:space="0" w:color="auto"/>
                <w:bottom w:val="none" w:sz="0" w:space="0" w:color="auto"/>
                <w:right w:val="none" w:sz="0" w:space="0" w:color="auto"/>
              </w:divBdr>
            </w:div>
          </w:divsChild>
        </w:div>
        <w:div w:id="415708893">
          <w:marLeft w:val="0"/>
          <w:marRight w:val="0"/>
          <w:marTop w:val="0"/>
          <w:marBottom w:val="0"/>
          <w:divBdr>
            <w:top w:val="none" w:sz="0" w:space="0" w:color="auto"/>
            <w:left w:val="none" w:sz="0" w:space="0" w:color="auto"/>
            <w:bottom w:val="none" w:sz="0" w:space="0" w:color="auto"/>
            <w:right w:val="none" w:sz="0" w:space="0" w:color="auto"/>
          </w:divBdr>
          <w:divsChild>
            <w:div w:id="1309894110">
              <w:marLeft w:val="0"/>
              <w:marRight w:val="0"/>
              <w:marTop w:val="0"/>
              <w:marBottom w:val="0"/>
              <w:divBdr>
                <w:top w:val="none" w:sz="0" w:space="0" w:color="auto"/>
                <w:left w:val="none" w:sz="0" w:space="0" w:color="auto"/>
                <w:bottom w:val="none" w:sz="0" w:space="0" w:color="auto"/>
                <w:right w:val="none" w:sz="0" w:space="0" w:color="auto"/>
              </w:divBdr>
            </w:div>
          </w:divsChild>
        </w:div>
        <w:div w:id="1655334661">
          <w:marLeft w:val="0"/>
          <w:marRight w:val="0"/>
          <w:marTop w:val="0"/>
          <w:marBottom w:val="0"/>
          <w:divBdr>
            <w:top w:val="none" w:sz="0" w:space="0" w:color="auto"/>
            <w:left w:val="none" w:sz="0" w:space="0" w:color="auto"/>
            <w:bottom w:val="none" w:sz="0" w:space="0" w:color="auto"/>
            <w:right w:val="none" w:sz="0" w:space="0" w:color="auto"/>
          </w:divBdr>
          <w:divsChild>
            <w:div w:id="1202211795">
              <w:marLeft w:val="0"/>
              <w:marRight w:val="0"/>
              <w:marTop w:val="0"/>
              <w:marBottom w:val="0"/>
              <w:divBdr>
                <w:top w:val="none" w:sz="0" w:space="0" w:color="auto"/>
                <w:left w:val="none" w:sz="0" w:space="0" w:color="auto"/>
                <w:bottom w:val="none" w:sz="0" w:space="0" w:color="auto"/>
                <w:right w:val="none" w:sz="0" w:space="0" w:color="auto"/>
              </w:divBdr>
            </w:div>
            <w:div w:id="2076587498">
              <w:marLeft w:val="0"/>
              <w:marRight w:val="0"/>
              <w:marTop w:val="0"/>
              <w:marBottom w:val="0"/>
              <w:divBdr>
                <w:top w:val="none" w:sz="0" w:space="0" w:color="auto"/>
                <w:left w:val="none" w:sz="0" w:space="0" w:color="auto"/>
                <w:bottom w:val="none" w:sz="0" w:space="0" w:color="auto"/>
                <w:right w:val="none" w:sz="0" w:space="0" w:color="auto"/>
              </w:divBdr>
            </w:div>
          </w:divsChild>
        </w:div>
        <w:div w:id="268129516">
          <w:marLeft w:val="0"/>
          <w:marRight w:val="0"/>
          <w:marTop w:val="0"/>
          <w:marBottom w:val="0"/>
          <w:divBdr>
            <w:top w:val="none" w:sz="0" w:space="0" w:color="auto"/>
            <w:left w:val="none" w:sz="0" w:space="0" w:color="auto"/>
            <w:bottom w:val="none" w:sz="0" w:space="0" w:color="auto"/>
            <w:right w:val="none" w:sz="0" w:space="0" w:color="auto"/>
          </w:divBdr>
          <w:divsChild>
            <w:div w:id="1305621735">
              <w:marLeft w:val="0"/>
              <w:marRight w:val="0"/>
              <w:marTop w:val="0"/>
              <w:marBottom w:val="0"/>
              <w:divBdr>
                <w:top w:val="none" w:sz="0" w:space="0" w:color="auto"/>
                <w:left w:val="none" w:sz="0" w:space="0" w:color="auto"/>
                <w:bottom w:val="none" w:sz="0" w:space="0" w:color="auto"/>
                <w:right w:val="none" w:sz="0" w:space="0" w:color="auto"/>
              </w:divBdr>
            </w:div>
          </w:divsChild>
        </w:div>
        <w:div w:id="1380980016">
          <w:marLeft w:val="0"/>
          <w:marRight w:val="0"/>
          <w:marTop w:val="0"/>
          <w:marBottom w:val="0"/>
          <w:divBdr>
            <w:top w:val="none" w:sz="0" w:space="0" w:color="auto"/>
            <w:left w:val="none" w:sz="0" w:space="0" w:color="auto"/>
            <w:bottom w:val="none" w:sz="0" w:space="0" w:color="auto"/>
            <w:right w:val="none" w:sz="0" w:space="0" w:color="auto"/>
          </w:divBdr>
          <w:divsChild>
            <w:div w:id="503862797">
              <w:marLeft w:val="0"/>
              <w:marRight w:val="0"/>
              <w:marTop w:val="0"/>
              <w:marBottom w:val="0"/>
              <w:divBdr>
                <w:top w:val="none" w:sz="0" w:space="0" w:color="auto"/>
                <w:left w:val="none" w:sz="0" w:space="0" w:color="auto"/>
                <w:bottom w:val="none" w:sz="0" w:space="0" w:color="auto"/>
                <w:right w:val="none" w:sz="0" w:space="0" w:color="auto"/>
              </w:divBdr>
            </w:div>
          </w:divsChild>
        </w:div>
        <w:div w:id="1330906407">
          <w:marLeft w:val="0"/>
          <w:marRight w:val="0"/>
          <w:marTop w:val="0"/>
          <w:marBottom w:val="0"/>
          <w:divBdr>
            <w:top w:val="none" w:sz="0" w:space="0" w:color="auto"/>
            <w:left w:val="none" w:sz="0" w:space="0" w:color="auto"/>
            <w:bottom w:val="none" w:sz="0" w:space="0" w:color="auto"/>
            <w:right w:val="none" w:sz="0" w:space="0" w:color="auto"/>
          </w:divBdr>
          <w:divsChild>
            <w:div w:id="1916547891">
              <w:marLeft w:val="0"/>
              <w:marRight w:val="0"/>
              <w:marTop w:val="0"/>
              <w:marBottom w:val="0"/>
              <w:divBdr>
                <w:top w:val="none" w:sz="0" w:space="0" w:color="auto"/>
                <w:left w:val="none" w:sz="0" w:space="0" w:color="auto"/>
                <w:bottom w:val="none" w:sz="0" w:space="0" w:color="auto"/>
                <w:right w:val="none" w:sz="0" w:space="0" w:color="auto"/>
              </w:divBdr>
            </w:div>
          </w:divsChild>
        </w:div>
        <w:div w:id="674384645">
          <w:marLeft w:val="0"/>
          <w:marRight w:val="0"/>
          <w:marTop w:val="0"/>
          <w:marBottom w:val="0"/>
          <w:divBdr>
            <w:top w:val="none" w:sz="0" w:space="0" w:color="auto"/>
            <w:left w:val="none" w:sz="0" w:space="0" w:color="auto"/>
            <w:bottom w:val="none" w:sz="0" w:space="0" w:color="auto"/>
            <w:right w:val="none" w:sz="0" w:space="0" w:color="auto"/>
          </w:divBdr>
          <w:divsChild>
            <w:div w:id="769543044">
              <w:marLeft w:val="0"/>
              <w:marRight w:val="0"/>
              <w:marTop w:val="0"/>
              <w:marBottom w:val="0"/>
              <w:divBdr>
                <w:top w:val="none" w:sz="0" w:space="0" w:color="auto"/>
                <w:left w:val="none" w:sz="0" w:space="0" w:color="auto"/>
                <w:bottom w:val="none" w:sz="0" w:space="0" w:color="auto"/>
                <w:right w:val="none" w:sz="0" w:space="0" w:color="auto"/>
              </w:divBdr>
            </w:div>
          </w:divsChild>
        </w:div>
        <w:div w:id="630786816">
          <w:marLeft w:val="0"/>
          <w:marRight w:val="0"/>
          <w:marTop w:val="0"/>
          <w:marBottom w:val="0"/>
          <w:divBdr>
            <w:top w:val="none" w:sz="0" w:space="0" w:color="auto"/>
            <w:left w:val="none" w:sz="0" w:space="0" w:color="auto"/>
            <w:bottom w:val="none" w:sz="0" w:space="0" w:color="auto"/>
            <w:right w:val="none" w:sz="0" w:space="0" w:color="auto"/>
          </w:divBdr>
          <w:divsChild>
            <w:div w:id="869340456">
              <w:marLeft w:val="0"/>
              <w:marRight w:val="0"/>
              <w:marTop w:val="0"/>
              <w:marBottom w:val="0"/>
              <w:divBdr>
                <w:top w:val="none" w:sz="0" w:space="0" w:color="auto"/>
                <w:left w:val="none" w:sz="0" w:space="0" w:color="auto"/>
                <w:bottom w:val="none" w:sz="0" w:space="0" w:color="auto"/>
                <w:right w:val="none" w:sz="0" w:space="0" w:color="auto"/>
              </w:divBdr>
            </w:div>
          </w:divsChild>
        </w:div>
        <w:div w:id="177889340">
          <w:marLeft w:val="0"/>
          <w:marRight w:val="0"/>
          <w:marTop w:val="0"/>
          <w:marBottom w:val="0"/>
          <w:divBdr>
            <w:top w:val="none" w:sz="0" w:space="0" w:color="auto"/>
            <w:left w:val="none" w:sz="0" w:space="0" w:color="auto"/>
            <w:bottom w:val="none" w:sz="0" w:space="0" w:color="auto"/>
            <w:right w:val="none" w:sz="0" w:space="0" w:color="auto"/>
          </w:divBdr>
          <w:divsChild>
            <w:div w:id="439186663">
              <w:marLeft w:val="0"/>
              <w:marRight w:val="0"/>
              <w:marTop w:val="0"/>
              <w:marBottom w:val="0"/>
              <w:divBdr>
                <w:top w:val="none" w:sz="0" w:space="0" w:color="auto"/>
                <w:left w:val="none" w:sz="0" w:space="0" w:color="auto"/>
                <w:bottom w:val="none" w:sz="0" w:space="0" w:color="auto"/>
                <w:right w:val="none" w:sz="0" w:space="0" w:color="auto"/>
              </w:divBdr>
            </w:div>
            <w:div w:id="1809857297">
              <w:marLeft w:val="0"/>
              <w:marRight w:val="0"/>
              <w:marTop w:val="0"/>
              <w:marBottom w:val="0"/>
              <w:divBdr>
                <w:top w:val="none" w:sz="0" w:space="0" w:color="auto"/>
                <w:left w:val="none" w:sz="0" w:space="0" w:color="auto"/>
                <w:bottom w:val="none" w:sz="0" w:space="0" w:color="auto"/>
                <w:right w:val="none" w:sz="0" w:space="0" w:color="auto"/>
              </w:divBdr>
            </w:div>
          </w:divsChild>
        </w:div>
        <w:div w:id="1953512777">
          <w:marLeft w:val="0"/>
          <w:marRight w:val="0"/>
          <w:marTop w:val="0"/>
          <w:marBottom w:val="0"/>
          <w:divBdr>
            <w:top w:val="none" w:sz="0" w:space="0" w:color="auto"/>
            <w:left w:val="none" w:sz="0" w:space="0" w:color="auto"/>
            <w:bottom w:val="none" w:sz="0" w:space="0" w:color="auto"/>
            <w:right w:val="none" w:sz="0" w:space="0" w:color="auto"/>
          </w:divBdr>
          <w:divsChild>
            <w:div w:id="194925160">
              <w:marLeft w:val="0"/>
              <w:marRight w:val="0"/>
              <w:marTop w:val="0"/>
              <w:marBottom w:val="0"/>
              <w:divBdr>
                <w:top w:val="none" w:sz="0" w:space="0" w:color="auto"/>
                <w:left w:val="none" w:sz="0" w:space="0" w:color="auto"/>
                <w:bottom w:val="none" w:sz="0" w:space="0" w:color="auto"/>
                <w:right w:val="none" w:sz="0" w:space="0" w:color="auto"/>
              </w:divBdr>
            </w:div>
            <w:div w:id="210849634">
              <w:marLeft w:val="0"/>
              <w:marRight w:val="0"/>
              <w:marTop w:val="0"/>
              <w:marBottom w:val="0"/>
              <w:divBdr>
                <w:top w:val="none" w:sz="0" w:space="0" w:color="auto"/>
                <w:left w:val="none" w:sz="0" w:space="0" w:color="auto"/>
                <w:bottom w:val="none" w:sz="0" w:space="0" w:color="auto"/>
                <w:right w:val="none" w:sz="0" w:space="0" w:color="auto"/>
              </w:divBdr>
            </w:div>
          </w:divsChild>
        </w:div>
        <w:div w:id="176578664">
          <w:marLeft w:val="0"/>
          <w:marRight w:val="0"/>
          <w:marTop w:val="0"/>
          <w:marBottom w:val="0"/>
          <w:divBdr>
            <w:top w:val="none" w:sz="0" w:space="0" w:color="auto"/>
            <w:left w:val="none" w:sz="0" w:space="0" w:color="auto"/>
            <w:bottom w:val="none" w:sz="0" w:space="0" w:color="auto"/>
            <w:right w:val="none" w:sz="0" w:space="0" w:color="auto"/>
          </w:divBdr>
          <w:divsChild>
            <w:div w:id="1414426498">
              <w:marLeft w:val="0"/>
              <w:marRight w:val="0"/>
              <w:marTop w:val="0"/>
              <w:marBottom w:val="0"/>
              <w:divBdr>
                <w:top w:val="none" w:sz="0" w:space="0" w:color="auto"/>
                <w:left w:val="none" w:sz="0" w:space="0" w:color="auto"/>
                <w:bottom w:val="none" w:sz="0" w:space="0" w:color="auto"/>
                <w:right w:val="none" w:sz="0" w:space="0" w:color="auto"/>
              </w:divBdr>
            </w:div>
          </w:divsChild>
        </w:div>
        <w:div w:id="1251966161">
          <w:marLeft w:val="0"/>
          <w:marRight w:val="0"/>
          <w:marTop w:val="0"/>
          <w:marBottom w:val="0"/>
          <w:divBdr>
            <w:top w:val="none" w:sz="0" w:space="0" w:color="auto"/>
            <w:left w:val="none" w:sz="0" w:space="0" w:color="auto"/>
            <w:bottom w:val="none" w:sz="0" w:space="0" w:color="auto"/>
            <w:right w:val="none" w:sz="0" w:space="0" w:color="auto"/>
          </w:divBdr>
          <w:divsChild>
            <w:div w:id="447622629">
              <w:marLeft w:val="0"/>
              <w:marRight w:val="0"/>
              <w:marTop w:val="0"/>
              <w:marBottom w:val="0"/>
              <w:divBdr>
                <w:top w:val="none" w:sz="0" w:space="0" w:color="auto"/>
                <w:left w:val="none" w:sz="0" w:space="0" w:color="auto"/>
                <w:bottom w:val="none" w:sz="0" w:space="0" w:color="auto"/>
                <w:right w:val="none" w:sz="0" w:space="0" w:color="auto"/>
              </w:divBdr>
            </w:div>
          </w:divsChild>
        </w:div>
        <w:div w:id="1283534204">
          <w:marLeft w:val="0"/>
          <w:marRight w:val="0"/>
          <w:marTop w:val="0"/>
          <w:marBottom w:val="0"/>
          <w:divBdr>
            <w:top w:val="none" w:sz="0" w:space="0" w:color="auto"/>
            <w:left w:val="none" w:sz="0" w:space="0" w:color="auto"/>
            <w:bottom w:val="none" w:sz="0" w:space="0" w:color="auto"/>
            <w:right w:val="none" w:sz="0" w:space="0" w:color="auto"/>
          </w:divBdr>
          <w:divsChild>
            <w:div w:id="2069839091">
              <w:marLeft w:val="0"/>
              <w:marRight w:val="0"/>
              <w:marTop w:val="0"/>
              <w:marBottom w:val="0"/>
              <w:divBdr>
                <w:top w:val="none" w:sz="0" w:space="0" w:color="auto"/>
                <w:left w:val="none" w:sz="0" w:space="0" w:color="auto"/>
                <w:bottom w:val="none" w:sz="0" w:space="0" w:color="auto"/>
                <w:right w:val="none" w:sz="0" w:space="0" w:color="auto"/>
              </w:divBdr>
            </w:div>
            <w:div w:id="1368145703">
              <w:marLeft w:val="0"/>
              <w:marRight w:val="0"/>
              <w:marTop w:val="0"/>
              <w:marBottom w:val="0"/>
              <w:divBdr>
                <w:top w:val="none" w:sz="0" w:space="0" w:color="auto"/>
                <w:left w:val="none" w:sz="0" w:space="0" w:color="auto"/>
                <w:bottom w:val="none" w:sz="0" w:space="0" w:color="auto"/>
                <w:right w:val="none" w:sz="0" w:space="0" w:color="auto"/>
              </w:divBdr>
            </w:div>
          </w:divsChild>
        </w:div>
        <w:div w:id="654722415">
          <w:marLeft w:val="0"/>
          <w:marRight w:val="0"/>
          <w:marTop w:val="0"/>
          <w:marBottom w:val="0"/>
          <w:divBdr>
            <w:top w:val="none" w:sz="0" w:space="0" w:color="auto"/>
            <w:left w:val="none" w:sz="0" w:space="0" w:color="auto"/>
            <w:bottom w:val="none" w:sz="0" w:space="0" w:color="auto"/>
            <w:right w:val="none" w:sz="0" w:space="0" w:color="auto"/>
          </w:divBdr>
          <w:divsChild>
            <w:div w:id="334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71237">
      <w:bodyDiv w:val="1"/>
      <w:marLeft w:val="0"/>
      <w:marRight w:val="0"/>
      <w:marTop w:val="0"/>
      <w:marBottom w:val="0"/>
      <w:divBdr>
        <w:top w:val="none" w:sz="0" w:space="0" w:color="auto"/>
        <w:left w:val="none" w:sz="0" w:space="0" w:color="auto"/>
        <w:bottom w:val="none" w:sz="0" w:space="0" w:color="auto"/>
        <w:right w:val="none" w:sz="0" w:space="0" w:color="auto"/>
      </w:divBdr>
    </w:div>
    <w:div w:id="318270679">
      <w:bodyDiv w:val="1"/>
      <w:marLeft w:val="0"/>
      <w:marRight w:val="0"/>
      <w:marTop w:val="0"/>
      <w:marBottom w:val="0"/>
      <w:divBdr>
        <w:top w:val="none" w:sz="0" w:space="0" w:color="auto"/>
        <w:left w:val="none" w:sz="0" w:space="0" w:color="auto"/>
        <w:bottom w:val="none" w:sz="0" w:space="0" w:color="auto"/>
        <w:right w:val="none" w:sz="0" w:space="0" w:color="auto"/>
      </w:divBdr>
    </w:div>
    <w:div w:id="387608798">
      <w:bodyDiv w:val="1"/>
      <w:marLeft w:val="0"/>
      <w:marRight w:val="0"/>
      <w:marTop w:val="0"/>
      <w:marBottom w:val="0"/>
      <w:divBdr>
        <w:top w:val="none" w:sz="0" w:space="0" w:color="auto"/>
        <w:left w:val="none" w:sz="0" w:space="0" w:color="auto"/>
        <w:bottom w:val="none" w:sz="0" w:space="0" w:color="auto"/>
        <w:right w:val="none" w:sz="0" w:space="0" w:color="auto"/>
      </w:divBdr>
    </w:div>
    <w:div w:id="615017951">
      <w:bodyDiv w:val="1"/>
      <w:marLeft w:val="0"/>
      <w:marRight w:val="0"/>
      <w:marTop w:val="0"/>
      <w:marBottom w:val="0"/>
      <w:divBdr>
        <w:top w:val="none" w:sz="0" w:space="0" w:color="auto"/>
        <w:left w:val="none" w:sz="0" w:space="0" w:color="auto"/>
        <w:bottom w:val="none" w:sz="0" w:space="0" w:color="auto"/>
        <w:right w:val="none" w:sz="0" w:space="0" w:color="auto"/>
      </w:divBdr>
    </w:div>
    <w:div w:id="691804544">
      <w:bodyDiv w:val="1"/>
      <w:marLeft w:val="0"/>
      <w:marRight w:val="0"/>
      <w:marTop w:val="0"/>
      <w:marBottom w:val="0"/>
      <w:divBdr>
        <w:top w:val="none" w:sz="0" w:space="0" w:color="auto"/>
        <w:left w:val="none" w:sz="0" w:space="0" w:color="auto"/>
        <w:bottom w:val="none" w:sz="0" w:space="0" w:color="auto"/>
        <w:right w:val="none" w:sz="0" w:space="0" w:color="auto"/>
      </w:divBdr>
      <w:divsChild>
        <w:div w:id="375861181">
          <w:marLeft w:val="0"/>
          <w:marRight w:val="0"/>
          <w:marTop w:val="0"/>
          <w:marBottom w:val="0"/>
          <w:divBdr>
            <w:top w:val="none" w:sz="0" w:space="0" w:color="auto"/>
            <w:left w:val="none" w:sz="0" w:space="0" w:color="auto"/>
            <w:bottom w:val="none" w:sz="0" w:space="0" w:color="auto"/>
            <w:right w:val="none" w:sz="0" w:space="0" w:color="auto"/>
          </w:divBdr>
          <w:divsChild>
            <w:div w:id="248346029">
              <w:marLeft w:val="0"/>
              <w:marRight w:val="0"/>
              <w:marTop w:val="0"/>
              <w:marBottom w:val="0"/>
              <w:divBdr>
                <w:top w:val="none" w:sz="0" w:space="0" w:color="auto"/>
                <w:left w:val="none" w:sz="0" w:space="0" w:color="auto"/>
                <w:bottom w:val="none" w:sz="0" w:space="0" w:color="auto"/>
                <w:right w:val="none" w:sz="0" w:space="0" w:color="auto"/>
              </w:divBdr>
            </w:div>
          </w:divsChild>
        </w:div>
        <w:div w:id="678896262">
          <w:marLeft w:val="0"/>
          <w:marRight w:val="0"/>
          <w:marTop w:val="0"/>
          <w:marBottom w:val="0"/>
          <w:divBdr>
            <w:top w:val="none" w:sz="0" w:space="0" w:color="auto"/>
            <w:left w:val="none" w:sz="0" w:space="0" w:color="auto"/>
            <w:bottom w:val="none" w:sz="0" w:space="0" w:color="auto"/>
            <w:right w:val="none" w:sz="0" w:space="0" w:color="auto"/>
          </w:divBdr>
          <w:divsChild>
            <w:div w:id="2050302069">
              <w:marLeft w:val="0"/>
              <w:marRight w:val="0"/>
              <w:marTop w:val="0"/>
              <w:marBottom w:val="0"/>
              <w:divBdr>
                <w:top w:val="none" w:sz="0" w:space="0" w:color="auto"/>
                <w:left w:val="none" w:sz="0" w:space="0" w:color="auto"/>
                <w:bottom w:val="none" w:sz="0" w:space="0" w:color="auto"/>
                <w:right w:val="none" w:sz="0" w:space="0" w:color="auto"/>
              </w:divBdr>
            </w:div>
          </w:divsChild>
        </w:div>
        <w:div w:id="392696870">
          <w:marLeft w:val="0"/>
          <w:marRight w:val="0"/>
          <w:marTop w:val="0"/>
          <w:marBottom w:val="0"/>
          <w:divBdr>
            <w:top w:val="none" w:sz="0" w:space="0" w:color="auto"/>
            <w:left w:val="none" w:sz="0" w:space="0" w:color="auto"/>
            <w:bottom w:val="none" w:sz="0" w:space="0" w:color="auto"/>
            <w:right w:val="none" w:sz="0" w:space="0" w:color="auto"/>
          </w:divBdr>
          <w:divsChild>
            <w:div w:id="156699125">
              <w:marLeft w:val="0"/>
              <w:marRight w:val="0"/>
              <w:marTop w:val="0"/>
              <w:marBottom w:val="0"/>
              <w:divBdr>
                <w:top w:val="none" w:sz="0" w:space="0" w:color="auto"/>
                <w:left w:val="none" w:sz="0" w:space="0" w:color="auto"/>
                <w:bottom w:val="none" w:sz="0" w:space="0" w:color="auto"/>
                <w:right w:val="none" w:sz="0" w:space="0" w:color="auto"/>
              </w:divBdr>
            </w:div>
          </w:divsChild>
        </w:div>
        <w:div w:id="1061489326">
          <w:marLeft w:val="0"/>
          <w:marRight w:val="0"/>
          <w:marTop w:val="0"/>
          <w:marBottom w:val="0"/>
          <w:divBdr>
            <w:top w:val="none" w:sz="0" w:space="0" w:color="auto"/>
            <w:left w:val="none" w:sz="0" w:space="0" w:color="auto"/>
            <w:bottom w:val="none" w:sz="0" w:space="0" w:color="auto"/>
            <w:right w:val="none" w:sz="0" w:space="0" w:color="auto"/>
          </w:divBdr>
          <w:divsChild>
            <w:div w:id="217864206">
              <w:marLeft w:val="0"/>
              <w:marRight w:val="0"/>
              <w:marTop w:val="0"/>
              <w:marBottom w:val="0"/>
              <w:divBdr>
                <w:top w:val="none" w:sz="0" w:space="0" w:color="auto"/>
                <w:left w:val="none" w:sz="0" w:space="0" w:color="auto"/>
                <w:bottom w:val="none" w:sz="0" w:space="0" w:color="auto"/>
                <w:right w:val="none" w:sz="0" w:space="0" w:color="auto"/>
              </w:divBdr>
            </w:div>
          </w:divsChild>
        </w:div>
        <w:div w:id="1203984858">
          <w:marLeft w:val="0"/>
          <w:marRight w:val="0"/>
          <w:marTop w:val="0"/>
          <w:marBottom w:val="0"/>
          <w:divBdr>
            <w:top w:val="none" w:sz="0" w:space="0" w:color="auto"/>
            <w:left w:val="none" w:sz="0" w:space="0" w:color="auto"/>
            <w:bottom w:val="none" w:sz="0" w:space="0" w:color="auto"/>
            <w:right w:val="none" w:sz="0" w:space="0" w:color="auto"/>
          </w:divBdr>
          <w:divsChild>
            <w:div w:id="1203638251">
              <w:marLeft w:val="0"/>
              <w:marRight w:val="0"/>
              <w:marTop w:val="0"/>
              <w:marBottom w:val="0"/>
              <w:divBdr>
                <w:top w:val="none" w:sz="0" w:space="0" w:color="auto"/>
                <w:left w:val="none" w:sz="0" w:space="0" w:color="auto"/>
                <w:bottom w:val="none" w:sz="0" w:space="0" w:color="auto"/>
                <w:right w:val="none" w:sz="0" w:space="0" w:color="auto"/>
              </w:divBdr>
            </w:div>
          </w:divsChild>
        </w:div>
        <w:div w:id="986931049">
          <w:marLeft w:val="0"/>
          <w:marRight w:val="0"/>
          <w:marTop w:val="0"/>
          <w:marBottom w:val="0"/>
          <w:divBdr>
            <w:top w:val="none" w:sz="0" w:space="0" w:color="auto"/>
            <w:left w:val="none" w:sz="0" w:space="0" w:color="auto"/>
            <w:bottom w:val="none" w:sz="0" w:space="0" w:color="auto"/>
            <w:right w:val="none" w:sz="0" w:space="0" w:color="auto"/>
          </w:divBdr>
          <w:divsChild>
            <w:div w:id="514347272">
              <w:marLeft w:val="0"/>
              <w:marRight w:val="0"/>
              <w:marTop w:val="0"/>
              <w:marBottom w:val="0"/>
              <w:divBdr>
                <w:top w:val="none" w:sz="0" w:space="0" w:color="auto"/>
                <w:left w:val="none" w:sz="0" w:space="0" w:color="auto"/>
                <w:bottom w:val="none" w:sz="0" w:space="0" w:color="auto"/>
                <w:right w:val="none" w:sz="0" w:space="0" w:color="auto"/>
              </w:divBdr>
            </w:div>
          </w:divsChild>
        </w:div>
        <w:div w:id="1346905822">
          <w:marLeft w:val="0"/>
          <w:marRight w:val="0"/>
          <w:marTop w:val="0"/>
          <w:marBottom w:val="0"/>
          <w:divBdr>
            <w:top w:val="none" w:sz="0" w:space="0" w:color="auto"/>
            <w:left w:val="none" w:sz="0" w:space="0" w:color="auto"/>
            <w:bottom w:val="none" w:sz="0" w:space="0" w:color="auto"/>
            <w:right w:val="none" w:sz="0" w:space="0" w:color="auto"/>
          </w:divBdr>
          <w:divsChild>
            <w:div w:id="1455292903">
              <w:marLeft w:val="0"/>
              <w:marRight w:val="0"/>
              <w:marTop w:val="0"/>
              <w:marBottom w:val="0"/>
              <w:divBdr>
                <w:top w:val="none" w:sz="0" w:space="0" w:color="auto"/>
                <w:left w:val="none" w:sz="0" w:space="0" w:color="auto"/>
                <w:bottom w:val="none" w:sz="0" w:space="0" w:color="auto"/>
                <w:right w:val="none" w:sz="0" w:space="0" w:color="auto"/>
              </w:divBdr>
            </w:div>
            <w:div w:id="40980181">
              <w:marLeft w:val="0"/>
              <w:marRight w:val="0"/>
              <w:marTop w:val="0"/>
              <w:marBottom w:val="0"/>
              <w:divBdr>
                <w:top w:val="none" w:sz="0" w:space="0" w:color="auto"/>
                <w:left w:val="none" w:sz="0" w:space="0" w:color="auto"/>
                <w:bottom w:val="none" w:sz="0" w:space="0" w:color="auto"/>
                <w:right w:val="none" w:sz="0" w:space="0" w:color="auto"/>
              </w:divBdr>
            </w:div>
            <w:div w:id="1795635924">
              <w:marLeft w:val="0"/>
              <w:marRight w:val="0"/>
              <w:marTop w:val="0"/>
              <w:marBottom w:val="0"/>
              <w:divBdr>
                <w:top w:val="none" w:sz="0" w:space="0" w:color="auto"/>
                <w:left w:val="none" w:sz="0" w:space="0" w:color="auto"/>
                <w:bottom w:val="none" w:sz="0" w:space="0" w:color="auto"/>
                <w:right w:val="none" w:sz="0" w:space="0" w:color="auto"/>
              </w:divBdr>
            </w:div>
            <w:div w:id="32384995">
              <w:marLeft w:val="0"/>
              <w:marRight w:val="0"/>
              <w:marTop w:val="0"/>
              <w:marBottom w:val="0"/>
              <w:divBdr>
                <w:top w:val="none" w:sz="0" w:space="0" w:color="auto"/>
                <w:left w:val="none" w:sz="0" w:space="0" w:color="auto"/>
                <w:bottom w:val="none" w:sz="0" w:space="0" w:color="auto"/>
                <w:right w:val="none" w:sz="0" w:space="0" w:color="auto"/>
              </w:divBdr>
            </w:div>
            <w:div w:id="1156190409">
              <w:marLeft w:val="0"/>
              <w:marRight w:val="0"/>
              <w:marTop w:val="0"/>
              <w:marBottom w:val="0"/>
              <w:divBdr>
                <w:top w:val="none" w:sz="0" w:space="0" w:color="auto"/>
                <w:left w:val="none" w:sz="0" w:space="0" w:color="auto"/>
                <w:bottom w:val="none" w:sz="0" w:space="0" w:color="auto"/>
                <w:right w:val="none" w:sz="0" w:space="0" w:color="auto"/>
              </w:divBdr>
            </w:div>
            <w:div w:id="225452629">
              <w:marLeft w:val="0"/>
              <w:marRight w:val="0"/>
              <w:marTop w:val="0"/>
              <w:marBottom w:val="0"/>
              <w:divBdr>
                <w:top w:val="none" w:sz="0" w:space="0" w:color="auto"/>
                <w:left w:val="none" w:sz="0" w:space="0" w:color="auto"/>
                <w:bottom w:val="none" w:sz="0" w:space="0" w:color="auto"/>
                <w:right w:val="none" w:sz="0" w:space="0" w:color="auto"/>
              </w:divBdr>
            </w:div>
            <w:div w:id="791479259">
              <w:marLeft w:val="0"/>
              <w:marRight w:val="0"/>
              <w:marTop w:val="0"/>
              <w:marBottom w:val="0"/>
              <w:divBdr>
                <w:top w:val="none" w:sz="0" w:space="0" w:color="auto"/>
                <w:left w:val="none" w:sz="0" w:space="0" w:color="auto"/>
                <w:bottom w:val="none" w:sz="0" w:space="0" w:color="auto"/>
                <w:right w:val="none" w:sz="0" w:space="0" w:color="auto"/>
              </w:divBdr>
            </w:div>
            <w:div w:id="1892183606">
              <w:marLeft w:val="0"/>
              <w:marRight w:val="0"/>
              <w:marTop w:val="0"/>
              <w:marBottom w:val="0"/>
              <w:divBdr>
                <w:top w:val="none" w:sz="0" w:space="0" w:color="auto"/>
                <w:left w:val="none" w:sz="0" w:space="0" w:color="auto"/>
                <w:bottom w:val="none" w:sz="0" w:space="0" w:color="auto"/>
                <w:right w:val="none" w:sz="0" w:space="0" w:color="auto"/>
              </w:divBdr>
            </w:div>
            <w:div w:id="600534732">
              <w:marLeft w:val="0"/>
              <w:marRight w:val="0"/>
              <w:marTop w:val="0"/>
              <w:marBottom w:val="0"/>
              <w:divBdr>
                <w:top w:val="none" w:sz="0" w:space="0" w:color="auto"/>
                <w:left w:val="none" w:sz="0" w:space="0" w:color="auto"/>
                <w:bottom w:val="none" w:sz="0" w:space="0" w:color="auto"/>
                <w:right w:val="none" w:sz="0" w:space="0" w:color="auto"/>
              </w:divBdr>
            </w:div>
            <w:div w:id="558173771">
              <w:marLeft w:val="0"/>
              <w:marRight w:val="0"/>
              <w:marTop w:val="0"/>
              <w:marBottom w:val="0"/>
              <w:divBdr>
                <w:top w:val="none" w:sz="0" w:space="0" w:color="auto"/>
                <w:left w:val="none" w:sz="0" w:space="0" w:color="auto"/>
                <w:bottom w:val="none" w:sz="0" w:space="0" w:color="auto"/>
                <w:right w:val="none" w:sz="0" w:space="0" w:color="auto"/>
              </w:divBdr>
            </w:div>
          </w:divsChild>
        </w:div>
        <w:div w:id="500780088">
          <w:marLeft w:val="0"/>
          <w:marRight w:val="0"/>
          <w:marTop w:val="0"/>
          <w:marBottom w:val="0"/>
          <w:divBdr>
            <w:top w:val="none" w:sz="0" w:space="0" w:color="auto"/>
            <w:left w:val="none" w:sz="0" w:space="0" w:color="auto"/>
            <w:bottom w:val="none" w:sz="0" w:space="0" w:color="auto"/>
            <w:right w:val="none" w:sz="0" w:space="0" w:color="auto"/>
          </w:divBdr>
          <w:divsChild>
            <w:div w:id="799885505">
              <w:marLeft w:val="0"/>
              <w:marRight w:val="0"/>
              <w:marTop w:val="0"/>
              <w:marBottom w:val="0"/>
              <w:divBdr>
                <w:top w:val="none" w:sz="0" w:space="0" w:color="auto"/>
                <w:left w:val="none" w:sz="0" w:space="0" w:color="auto"/>
                <w:bottom w:val="none" w:sz="0" w:space="0" w:color="auto"/>
                <w:right w:val="none" w:sz="0" w:space="0" w:color="auto"/>
              </w:divBdr>
            </w:div>
            <w:div w:id="837040751">
              <w:marLeft w:val="0"/>
              <w:marRight w:val="0"/>
              <w:marTop w:val="0"/>
              <w:marBottom w:val="0"/>
              <w:divBdr>
                <w:top w:val="none" w:sz="0" w:space="0" w:color="auto"/>
                <w:left w:val="none" w:sz="0" w:space="0" w:color="auto"/>
                <w:bottom w:val="none" w:sz="0" w:space="0" w:color="auto"/>
                <w:right w:val="none" w:sz="0" w:space="0" w:color="auto"/>
              </w:divBdr>
            </w:div>
            <w:div w:id="1147286902">
              <w:marLeft w:val="0"/>
              <w:marRight w:val="0"/>
              <w:marTop w:val="0"/>
              <w:marBottom w:val="0"/>
              <w:divBdr>
                <w:top w:val="none" w:sz="0" w:space="0" w:color="auto"/>
                <w:left w:val="none" w:sz="0" w:space="0" w:color="auto"/>
                <w:bottom w:val="none" w:sz="0" w:space="0" w:color="auto"/>
                <w:right w:val="none" w:sz="0" w:space="0" w:color="auto"/>
              </w:divBdr>
            </w:div>
            <w:div w:id="1991326734">
              <w:marLeft w:val="0"/>
              <w:marRight w:val="0"/>
              <w:marTop w:val="0"/>
              <w:marBottom w:val="0"/>
              <w:divBdr>
                <w:top w:val="none" w:sz="0" w:space="0" w:color="auto"/>
                <w:left w:val="none" w:sz="0" w:space="0" w:color="auto"/>
                <w:bottom w:val="none" w:sz="0" w:space="0" w:color="auto"/>
                <w:right w:val="none" w:sz="0" w:space="0" w:color="auto"/>
              </w:divBdr>
            </w:div>
            <w:div w:id="137768730">
              <w:marLeft w:val="0"/>
              <w:marRight w:val="0"/>
              <w:marTop w:val="0"/>
              <w:marBottom w:val="0"/>
              <w:divBdr>
                <w:top w:val="none" w:sz="0" w:space="0" w:color="auto"/>
                <w:left w:val="none" w:sz="0" w:space="0" w:color="auto"/>
                <w:bottom w:val="none" w:sz="0" w:space="0" w:color="auto"/>
                <w:right w:val="none" w:sz="0" w:space="0" w:color="auto"/>
              </w:divBdr>
            </w:div>
            <w:div w:id="205606122">
              <w:marLeft w:val="0"/>
              <w:marRight w:val="0"/>
              <w:marTop w:val="0"/>
              <w:marBottom w:val="0"/>
              <w:divBdr>
                <w:top w:val="none" w:sz="0" w:space="0" w:color="auto"/>
                <w:left w:val="none" w:sz="0" w:space="0" w:color="auto"/>
                <w:bottom w:val="none" w:sz="0" w:space="0" w:color="auto"/>
                <w:right w:val="none" w:sz="0" w:space="0" w:color="auto"/>
              </w:divBdr>
            </w:div>
            <w:div w:id="1219971971">
              <w:marLeft w:val="0"/>
              <w:marRight w:val="0"/>
              <w:marTop w:val="0"/>
              <w:marBottom w:val="0"/>
              <w:divBdr>
                <w:top w:val="none" w:sz="0" w:space="0" w:color="auto"/>
                <w:left w:val="none" w:sz="0" w:space="0" w:color="auto"/>
                <w:bottom w:val="none" w:sz="0" w:space="0" w:color="auto"/>
                <w:right w:val="none" w:sz="0" w:space="0" w:color="auto"/>
              </w:divBdr>
            </w:div>
            <w:div w:id="1840542434">
              <w:marLeft w:val="0"/>
              <w:marRight w:val="0"/>
              <w:marTop w:val="0"/>
              <w:marBottom w:val="0"/>
              <w:divBdr>
                <w:top w:val="none" w:sz="0" w:space="0" w:color="auto"/>
                <w:left w:val="none" w:sz="0" w:space="0" w:color="auto"/>
                <w:bottom w:val="none" w:sz="0" w:space="0" w:color="auto"/>
                <w:right w:val="none" w:sz="0" w:space="0" w:color="auto"/>
              </w:divBdr>
            </w:div>
            <w:div w:id="56518079">
              <w:marLeft w:val="0"/>
              <w:marRight w:val="0"/>
              <w:marTop w:val="0"/>
              <w:marBottom w:val="0"/>
              <w:divBdr>
                <w:top w:val="none" w:sz="0" w:space="0" w:color="auto"/>
                <w:left w:val="none" w:sz="0" w:space="0" w:color="auto"/>
                <w:bottom w:val="none" w:sz="0" w:space="0" w:color="auto"/>
                <w:right w:val="none" w:sz="0" w:space="0" w:color="auto"/>
              </w:divBdr>
            </w:div>
            <w:div w:id="2124493876">
              <w:marLeft w:val="0"/>
              <w:marRight w:val="0"/>
              <w:marTop w:val="0"/>
              <w:marBottom w:val="0"/>
              <w:divBdr>
                <w:top w:val="none" w:sz="0" w:space="0" w:color="auto"/>
                <w:left w:val="none" w:sz="0" w:space="0" w:color="auto"/>
                <w:bottom w:val="none" w:sz="0" w:space="0" w:color="auto"/>
                <w:right w:val="none" w:sz="0" w:space="0" w:color="auto"/>
              </w:divBdr>
            </w:div>
            <w:div w:id="1332830666">
              <w:marLeft w:val="0"/>
              <w:marRight w:val="0"/>
              <w:marTop w:val="0"/>
              <w:marBottom w:val="0"/>
              <w:divBdr>
                <w:top w:val="none" w:sz="0" w:space="0" w:color="auto"/>
                <w:left w:val="none" w:sz="0" w:space="0" w:color="auto"/>
                <w:bottom w:val="none" w:sz="0" w:space="0" w:color="auto"/>
                <w:right w:val="none" w:sz="0" w:space="0" w:color="auto"/>
              </w:divBdr>
            </w:div>
          </w:divsChild>
        </w:div>
        <w:div w:id="382140945">
          <w:marLeft w:val="0"/>
          <w:marRight w:val="0"/>
          <w:marTop w:val="0"/>
          <w:marBottom w:val="0"/>
          <w:divBdr>
            <w:top w:val="none" w:sz="0" w:space="0" w:color="auto"/>
            <w:left w:val="none" w:sz="0" w:space="0" w:color="auto"/>
            <w:bottom w:val="none" w:sz="0" w:space="0" w:color="auto"/>
            <w:right w:val="none" w:sz="0" w:space="0" w:color="auto"/>
          </w:divBdr>
          <w:divsChild>
            <w:div w:id="503055628">
              <w:marLeft w:val="0"/>
              <w:marRight w:val="0"/>
              <w:marTop w:val="0"/>
              <w:marBottom w:val="0"/>
              <w:divBdr>
                <w:top w:val="none" w:sz="0" w:space="0" w:color="auto"/>
                <w:left w:val="none" w:sz="0" w:space="0" w:color="auto"/>
                <w:bottom w:val="none" w:sz="0" w:space="0" w:color="auto"/>
                <w:right w:val="none" w:sz="0" w:space="0" w:color="auto"/>
              </w:divBdr>
            </w:div>
            <w:div w:id="755252319">
              <w:marLeft w:val="0"/>
              <w:marRight w:val="0"/>
              <w:marTop w:val="0"/>
              <w:marBottom w:val="0"/>
              <w:divBdr>
                <w:top w:val="none" w:sz="0" w:space="0" w:color="auto"/>
                <w:left w:val="none" w:sz="0" w:space="0" w:color="auto"/>
                <w:bottom w:val="none" w:sz="0" w:space="0" w:color="auto"/>
                <w:right w:val="none" w:sz="0" w:space="0" w:color="auto"/>
              </w:divBdr>
            </w:div>
            <w:div w:id="424573831">
              <w:marLeft w:val="0"/>
              <w:marRight w:val="0"/>
              <w:marTop w:val="0"/>
              <w:marBottom w:val="0"/>
              <w:divBdr>
                <w:top w:val="none" w:sz="0" w:space="0" w:color="auto"/>
                <w:left w:val="none" w:sz="0" w:space="0" w:color="auto"/>
                <w:bottom w:val="none" w:sz="0" w:space="0" w:color="auto"/>
                <w:right w:val="none" w:sz="0" w:space="0" w:color="auto"/>
              </w:divBdr>
            </w:div>
            <w:div w:id="153372824">
              <w:marLeft w:val="0"/>
              <w:marRight w:val="0"/>
              <w:marTop w:val="0"/>
              <w:marBottom w:val="0"/>
              <w:divBdr>
                <w:top w:val="none" w:sz="0" w:space="0" w:color="auto"/>
                <w:left w:val="none" w:sz="0" w:space="0" w:color="auto"/>
                <w:bottom w:val="none" w:sz="0" w:space="0" w:color="auto"/>
                <w:right w:val="none" w:sz="0" w:space="0" w:color="auto"/>
              </w:divBdr>
            </w:div>
          </w:divsChild>
        </w:div>
        <w:div w:id="988634190">
          <w:marLeft w:val="0"/>
          <w:marRight w:val="0"/>
          <w:marTop w:val="0"/>
          <w:marBottom w:val="0"/>
          <w:divBdr>
            <w:top w:val="none" w:sz="0" w:space="0" w:color="auto"/>
            <w:left w:val="none" w:sz="0" w:space="0" w:color="auto"/>
            <w:bottom w:val="none" w:sz="0" w:space="0" w:color="auto"/>
            <w:right w:val="none" w:sz="0" w:space="0" w:color="auto"/>
          </w:divBdr>
          <w:divsChild>
            <w:div w:id="1038167841">
              <w:marLeft w:val="0"/>
              <w:marRight w:val="0"/>
              <w:marTop w:val="0"/>
              <w:marBottom w:val="0"/>
              <w:divBdr>
                <w:top w:val="none" w:sz="0" w:space="0" w:color="auto"/>
                <w:left w:val="none" w:sz="0" w:space="0" w:color="auto"/>
                <w:bottom w:val="none" w:sz="0" w:space="0" w:color="auto"/>
                <w:right w:val="none" w:sz="0" w:space="0" w:color="auto"/>
              </w:divBdr>
            </w:div>
            <w:div w:id="350686753">
              <w:marLeft w:val="0"/>
              <w:marRight w:val="0"/>
              <w:marTop w:val="0"/>
              <w:marBottom w:val="0"/>
              <w:divBdr>
                <w:top w:val="none" w:sz="0" w:space="0" w:color="auto"/>
                <w:left w:val="none" w:sz="0" w:space="0" w:color="auto"/>
                <w:bottom w:val="none" w:sz="0" w:space="0" w:color="auto"/>
                <w:right w:val="none" w:sz="0" w:space="0" w:color="auto"/>
              </w:divBdr>
            </w:div>
            <w:div w:id="525750013">
              <w:marLeft w:val="0"/>
              <w:marRight w:val="0"/>
              <w:marTop w:val="0"/>
              <w:marBottom w:val="0"/>
              <w:divBdr>
                <w:top w:val="none" w:sz="0" w:space="0" w:color="auto"/>
                <w:left w:val="none" w:sz="0" w:space="0" w:color="auto"/>
                <w:bottom w:val="none" w:sz="0" w:space="0" w:color="auto"/>
                <w:right w:val="none" w:sz="0" w:space="0" w:color="auto"/>
              </w:divBdr>
            </w:div>
            <w:div w:id="1680621556">
              <w:marLeft w:val="0"/>
              <w:marRight w:val="0"/>
              <w:marTop w:val="0"/>
              <w:marBottom w:val="0"/>
              <w:divBdr>
                <w:top w:val="none" w:sz="0" w:space="0" w:color="auto"/>
                <w:left w:val="none" w:sz="0" w:space="0" w:color="auto"/>
                <w:bottom w:val="none" w:sz="0" w:space="0" w:color="auto"/>
                <w:right w:val="none" w:sz="0" w:space="0" w:color="auto"/>
              </w:divBdr>
            </w:div>
            <w:div w:id="185411232">
              <w:marLeft w:val="0"/>
              <w:marRight w:val="0"/>
              <w:marTop w:val="0"/>
              <w:marBottom w:val="0"/>
              <w:divBdr>
                <w:top w:val="none" w:sz="0" w:space="0" w:color="auto"/>
                <w:left w:val="none" w:sz="0" w:space="0" w:color="auto"/>
                <w:bottom w:val="none" w:sz="0" w:space="0" w:color="auto"/>
                <w:right w:val="none" w:sz="0" w:space="0" w:color="auto"/>
              </w:divBdr>
            </w:div>
            <w:div w:id="1391921313">
              <w:marLeft w:val="0"/>
              <w:marRight w:val="0"/>
              <w:marTop w:val="0"/>
              <w:marBottom w:val="0"/>
              <w:divBdr>
                <w:top w:val="none" w:sz="0" w:space="0" w:color="auto"/>
                <w:left w:val="none" w:sz="0" w:space="0" w:color="auto"/>
                <w:bottom w:val="none" w:sz="0" w:space="0" w:color="auto"/>
                <w:right w:val="none" w:sz="0" w:space="0" w:color="auto"/>
              </w:divBdr>
            </w:div>
            <w:div w:id="152572221">
              <w:marLeft w:val="0"/>
              <w:marRight w:val="0"/>
              <w:marTop w:val="0"/>
              <w:marBottom w:val="0"/>
              <w:divBdr>
                <w:top w:val="none" w:sz="0" w:space="0" w:color="auto"/>
                <w:left w:val="none" w:sz="0" w:space="0" w:color="auto"/>
                <w:bottom w:val="none" w:sz="0" w:space="0" w:color="auto"/>
                <w:right w:val="none" w:sz="0" w:space="0" w:color="auto"/>
              </w:divBdr>
            </w:div>
            <w:div w:id="1493837800">
              <w:marLeft w:val="0"/>
              <w:marRight w:val="0"/>
              <w:marTop w:val="0"/>
              <w:marBottom w:val="0"/>
              <w:divBdr>
                <w:top w:val="none" w:sz="0" w:space="0" w:color="auto"/>
                <w:left w:val="none" w:sz="0" w:space="0" w:color="auto"/>
                <w:bottom w:val="none" w:sz="0" w:space="0" w:color="auto"/>
                <w:right w:val="none" w:sz="0" w:space="0" w:color="auto"/>
              </w:divBdr>
            </w:div>
            <w:div w:id="185142884">
              <w:marLeft w:val="0"/>
              <w:marRight w:val="0"/>
              <w:marTop w:val="0"/>
              <w:marBottom w:val="0"/>
              <w:divBdr>
                <w:top w:val="none" w:sz="0" w:space="0" w:color="auto"/>
                <w:left w:val="none" w:sz="0" w:space="0" w:color="auto"/>
                <w:bottom w:val="none" w:sz="0" w:space="0" w:color="auto"/>
                <w:right w:val="none" w:sz="0" w:space="0" w:color="auto"/>
              </w:divBdr>
            </w:div>
            <w:div w:id="256644572">
              <w:marLeft w:val="0"/>
              <w:marRight w:val="0"/>
              <w:marTop w:val="0"/>
              <w:marBottom w:val="0"/>
              <w:divBdr>
                <w:top w:val="none" w:sz="0" w:space="0" w:color="auto"/>
                <w:left w:val="none" w:sz="0" w:space="0" w:color="auto"/>
                <w:bottom w:val="none" w:sz="0" w:space="0" w:color="auto"/>
                <w:right w:val="none" w:sz="0" w:space="0" w:color="auto"/>
              </w:divBdr>
            </w:div>
            <w:div w:id="951857554">
              <w:marLeft w:val="0"/>
              <w:marRight w:val="0"/>
              <w:marTop w:val="0"/>
              <w:marBottom w:val="0"/>
              <w:divBdr>
                <w:top w:val="none" w:sz="0" w:space="0" w:color="auto"/>
                <w:left w:val="none" w:sz="0" w:space="0" w:color="auto"/>
                <w:bottom w:val="none" w:sz="0" w:space="0" w:color="auto"/>
                <w:right w:val="none" w:sz="0" w:space="0" w:color="auto"/>
              </w:divBdr>
            </w:div>
            <w:div w:id="1100563604">
              <w:marLeft w:val="0"/>
              <w:marRight w:val="0"/>
              <w:marTop w:val="0"/>
              <w:marBottom w:val="0"/>
              <w:divBdr>
                <w:top w:val="none" w:sz="0" w:space="0" w:color="auto"/>
                <w:left w:val="none" w:sz="0" w:space="0" w:color="auto"/>
                <w:bottom w:val="none" w:sz="0" w:space="0" w:color="auto"/>
                <w:right w:val="none" w:sz="0" w:space="0" w:color="auto"/>
              </w:divBdr>
            </w:div>
            <w:div w:id="2230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50198">
      <w:bodyDiv w:val="1"/>
      <w:marLeft w:val="0"/>
      <w:marRight w:val="0"/>
      <w:marTop w:val="0"/>
      <w:marBottom w:val="0"/>
      <w:divBdr>
        <w:top w:val="none" w:sz="0" w:space="0" w:color="auto"/>
        <w:left w:val="none" w:sz="0" w:space="0" w:color="auto"/>
        <w:bottom w:val="none" w:sz="0" w:space="0" w:color="auto"/>
        <w:right w:val="none" w:sz="0" w:space="0" w:color="auto"/>
      </w:divBdr>
    </w:div>
    <w:div w:id="741417263">
      <w:bodyDiv w:val="1"/>
      <w:marLeft w:val="0"/>
      <w:marRight w:val="0"/>
      <w:marTop w:val="0"/>
      <w:marBottom w:val="0"/>
      <w:divBdr>
        <w:top w:val="none" w:sz="0" w:space="0" w:color="auto"/>
        <w:left w:val="none" w:sz="0" w:space="0" w:color="auto"/>
        <w:bottom w:val="none" w:sz="0" w:space="0" w:color="auto"/>
        <w:right w:val="none" w:sz="0" w:space="0" w:color="auto"/>
      </w:divBdr>
    </w:div>
    <w:div w:id="868495386">
      <w:bodyDiv w:val="1"/>
      <w:marLeft w:val="0"/>
      <w:marRight w:val="0"/>
      <w:marTop w:val="0"/>
      <w:marBottom w:val="0"/>
      <w:divBdr>
        <w:top w:val="none" w:sz="0" w:space="0" w:color="auto"/>
        <w:left w:val="none" w:sz="0" w:space="0" w:color="auto"/>
        <w:bottom w:val="none" w:sz="0" w:space="0" w:color="auto"/>
        <w:right w:val="none" w:sz="0" w:space="0" w:color="auto"/>
      </w:divBdr>
    </w:div>
    <w:div w:id="1009991183">
      <w:bodyDiv w:val="1"/>
      <w:marLeft w:val="0"/>
      <w:marRight w:val="0"/>
      <w:marTop w:val="0"/>
      <w:marBottom w:val="0"/>
      <w:divBdr>
        <w:top w:val="none" w:sz="0" w:space="0" w:color="auto"/>
        <w:left w:val="none" w:sz="0" w:space="0" w:color="auto"/>
        <w:bottom w:val="none" w:sz="0" w:space="0" w:color="auto"/>
        <w:right w:val="none" w:sz="0" w:space="0" w:color="auto"/>
      </w:divBdr>
    </w:div>
    <w:div w:id="1016619663">
      <w:bodyDiv w:val="1"/>
      <w:marLeft w:val="0"/>
      <w:marRight w:val="0"/>
      <w:marTop w:val="0"/>
      <w:marBottom w:val="0"/>
      <w:divBdr>
        <w:top w:val="none" w:sz="0" w:space="0" w:color="auto"/>
        <w:left w:val="none" w:sz="0" w:space="0" w:color="auto"/>
        <w:bottom w:val="none" w:sz="0" w:space="0" w:color="auto"/>
        <w:right w:val="none" w:sz="0" w:space="0" w:color="auto"/>
      </w:divBdr>
    </w:div>
    <w:div w:id="1078406114">
      <w:bodyDiv w:val="1"/>
      <w:marLeft w:val="0"/>
      <w:marRight w:val="0"/>
      <w:marTop w:val="0"/>
      <w:marBottom w:val="0"/>
      <w:divBdr>
        <w:top w:val="none" w:sz="0" w:space="0" w:color="auto"/>
        <w:left w:val="none" w:sz="0" w:space="0" w:color="auto"/>
        <w:bottom w:val="none" w:sz="0" w:space="0" w:color="auto"/>
        <w:right w:val="none" w:sz="0" w:space="0" w:color="auto"/>
      </w:divBdr>
    </w:div>
    <w:div w:id="1114128388">
      <w:bodyDiv w:val="1"/>
      <w:marLeft w:val="0"/>
      <w:marRight w:val="0"/>
      <w:marTop w:val="0"/>
      <w:marBottom w:val="0"/>
      <w:divBdr>
        <w:top w:val="none" w:sz="0" w:space="0" w:color="auto"/>
        <w:left w:val="none" w:sz="0" w:space="0" w:color="auto"/>
        <w:bottom w:val="none" w:sz="0" w:space="0" w:color="auto"/>
        <w:right w:val="none" w:sz="0" w:space="0" w:color="auto"/>
      </w:divBdr>
    </w:div>
    <w:div w:id="1157460439">
      <w:bodyDiv w:val="1"/>
      <w:marLeft w:val="0"/>
      <w:marRight w:val="0"/>
      <w:marTop w:val="0"/>
      <w:marBottom w:val="0"/>
      <w:divBdr>
        <w:top w:val="none" w:sz="0" w:space="0" w:color="auto"/>
        <w:left w:val="none" w:sz="0" w:space="0" w:color="auto"/>
        <w:bottom w:val="none" w:sz="0" w:space="0" w:color="auto"/>
        <w:right w:val="none" w:sz="0" w:space="0" w:color="auto"/>
      </w:divBdr>
    </w:div>
    <w:div w:id="1167328101">
      <w:bodyDiv w:val="1"/>
      <w:marLeft w:val="0"/>
      <w:marRight w:val="0"/>
      <w:marTop w:val="0"/>
      <w:marBottom w:val="0"/>
      <w:divBdr>
        <w:top w:val="none" w:sz="0" w:space="0" w:color="auto"/>
        <w:left w:val="none" w:sz="0" w:space="0" w:color="auto"/>
        <w:bottom w:val="none" w:sz="0" w:space="0" w:color="auto"/>
        <w:right w:val="none" w:sz="0" w:space="0" w:color="auto"/>
      </w:divBdr>
      <w:divsChild>
        <w:div w:id="267739839">
          <w:marLeft w:val="0"/>
          <w:marRight w:val="0"/>
          <w:marTop w:val="0"/>
          <w:marBottom w:val="0"/>
          <w:divBdr>
            <w:top w:val="none" w:sz="0" w:space="0" w:color="auto"/>
            <w:left w:val="none" w:sz="0" w:space="0" w:color="auto"/>
            <w:bottom w:val="none" w:sz="0" w:space="0" w:color="auto"/>
            <w:right w:val="none" w:sz="0" w:space="0" w:color="auto"/>
          </w:divBdr>
        </w:div>
        <w:div w:id="1560363401">
          <w:marLeft w:val="0"/>
          <w:marRight w:val="0"/>
          <w:marTop w:val="0"/>
          <w:marBottom w:val="0"/>
          <w:divBdr>
            <w:top w:val="none" w:sz="0" w:space="0" w:color="auto"/>
            <w:left w:val="none" w:sz="0" w:space="0" w:color="auto"/>
            <w:bottom w:val="none" w:sz="0" w:space="0" w:color="auto"/>
            <w:right w:val="none" w:sz="0" w:space="0" w:color="auto"/>
          </w:divBdr>
        </w:div>
      </w:divsChild>
    </w:div>
    <w:div w:id="1183668158">
      <w:bodyDiv w:val="1"/>
      <w:marLeft w:val="0"/>
      <w:marRight w:val="0"/>
      <w:marTop w:val="0"/>
      <w:marBottom w:val="0"/>
      <w:divBdr>
        <w:top w:val="none" w:sz="0" w:space="0" w:color="auto"/>
        <w:left w:val="none" w:sz="0" w:space="0" w:color="auto"/>
        <w:bottom w:val="none" w:sz="0" w:space="0" w:color="auto"/>
        <w:right w:val="none" w:sz="0" w:space="0" w:color="auto"/>
      </w:divBdr>
    </w:div>
    <w:div w:id="1225026957">
      <w:bodyDiv w:val="1"/>
      <w:marLeft w:val="0"/>
      <w:marRight w:val="0"/>
      <w:marTop w:val="0"/>
      <w:marBottom w:val="0"/>
      <w:divBdr>
        <w:top w:val="none" w:sz="0" w:space="0" w:color="auto"/>
        <w:left w:val="none" w:sz="0" w:space="0" w:color="auto"/>
        <w:bottom w:val="none" w:sz="0" w:space="0" w:color="auto"/>
        <w:right w:val="none" w:sz="0" w:space="0" w:color="auto"/>
      </w:divBdr>
      <w:divsChild>
        <w:div w:id="711149900">
          <w:marLeft w:val="0"/>
          <w:marRight w:val="0"/>
          <w:marTop w:val="0"/>
          <w:marBottom w:val="0"/>
          <w:divBdr>
            <w:top w:val="none" w:sz="0" w:space="0" w:color="auto"/>
            <w:left w:val="none" w:sz="0" w:space="0" w:color="auto"/>
            <w:bottom w:val="none" w:sz="0" w:space="0" w:color="auto"/>
            <w:right w:val="none" w:sz="0" w:space="0" w:color="auto"/>
          </w:divBdr>
          <w:divsChild>
            <w:div w:id="1836800921">
              <w:marLeft w:val="0"/>
              <w:marRight w:val="0"/>
              <w:marTop w:val="0"/>
              <w:marBottom w:val="0"/>
              <w:divBdr>
                <w:top w:val="none" w:sz="0" w:space="0" w:color="auto"/>
                <w:left w:val="none" w:sz="0" w:space="0" w:color="auto"/>
                <w:bottom w:val="none" w:sz="0" w:space="0" w:color="auto"/>
                <w:right w:val="none" w:sz="0" w:space="0" w:color="auto"/>
              </w:divBdr>
            </w:div>
          </w:divsChild>
        </w:div>
        <w:div w:id="951060742">
          <w:marLeft w:val="0"/>
          <w:marRight w:val="0"/>
          <w:marTop w:val="0"/>
          <w:marBottom w:val="0"/>
          <w:divBdr>
            <w:top w:val="none" w:sz="0" w:space="0" w:color="auto"/>
            <w:left w:val="none" w:sz="0" w:space="0" w:color="auto"/>
            <w:bottom w:val="none" w:sz="0" w:space="0" w:color="auto"/>
            <w:right w:val="none" w:sz="0" w:space="0" w:color="auto"/>
          </w:divBdr>
          <w:divsChild>
            <w:div w:id="130178553">
              <w:marLeft w:val="0"/>
              <w:marRight w:val="0"/>
              <w:marTop w:val="0"/>
              <w:marBottom w:val="0"/>
              <w:divBdr>
                <w:top w:val="none" w:sz="0" w:space="0" w:color="auto"/>
                <w:left w:val="none" w:sz="0" w:space="0" w:color="auto"/>
                <w:bottom w:val="none" w:sz="0" w:space="0" w:color="auto"/>
                <w:right w:val="none" w:sz="0" w:space="0" w:color="auto"/>
              </w:divBdr>
            </w:div>
          </w:divsChild>
        </w:div>
        <w:div w:id="1680543611">
          <w:marLeft w:val="0"/>
          <w:marRight w:val="0"/>
          <w:marTop w:val="0"/>
          <w:marBottom w:val="0"/>
          <w:divBdr>
            <w:top w:val="none" w:sz="0" w:space="0" w:color="auto"/>
            <w:left w:val="none" w:sz="0" w:space="0" w:color="auto"/>
            <w:bottom w:val="none" w:sz="0" w:space="0" w:color="auto"/>
            <w:right w:val="none" w:sz="0" w:space="0" w:color="auto"/>
          </w:divBdr>
          <w:divsChild>
            <w:div w:id="1092511704">
              <w:marLeft w:val="0"/>
              <w:marRight w:val="0"/>
              <w:marTop w:val="0"/>
              <w:marBottom w:val="0"/>
              <w:divBdr>
                <w:top w:val="none" w:sz="0" w:space="0" w:color="auto"/>
                <w:left w:val="none" w:sz="0" w:space="0" w:color="auto"/>
                <w:bottom w:val="none" w:sz="0" w:space="0" w:color="auto"/>
                <w:right w:val="none" w:sz="0" w:space="0" w:color="auto"/>
              </w:divBdr>
            </w:div>
          </w:divsChild>
        </w:div>
        <w:div w:id="61677840">
          <w:marLeft w:val="0"/>
          <w:marRight w:val="0"/>
          <w:marTop w:val="0"/>
          <w:marBottom w:val="0"/>
          <w:divBdr>
            <w:top w:val="none" w:sz="0" w:space="0" w:color="auto"/>
            <w:left w:val="none" w:sz="0" w:space="0" w:color="auto"/>
            <w:bottom w:val="none" w:sz="0" w:space="0" w:color="auto"/>
            <w:right w:val="none" w:sz="0" w:space="0" w:color="auto"/>
          </w:divBdr>
          <w:divsChild>
            <w:div w:id="1993832980">
              <w:marLeft w:val="0"/>
              <w:marRight w:val="0"/>
              <w:marTop w:val="0"/>
              <w:marBottom w:val="0"/>
              <w:divBdr>
                <w:top w:val="none" w:sz="0" w:space="0" w:color="auto"/>
                <w:left w:val="none" w:sz="0" w:space="0" w:color="auto"/>
                <w:bottom w:val="none" w:sz="0" w:space="0" w:color="auto"/>
                <w:right w:val="none" w:sz="0" w:space="0" w:color="auto"/>
              </w:divBdr>
            </w:div>
          </w:divsChild>
        </w:div>
        <w:div w:id="1193348361">
          <w:marLeft w:val="0"/>
          <w:marRight w:val="0"/>
          <w:marTop w:val="0"/>
          <w:marBottom w:val="0"/>
          <w:divBdr>
            <w:top w:val="none" w:sz="0" w:space="0" w:color="auto"/>
            <w:left w:val="none" w:sz="0" w:space="0" w:color="auto"/>
            <w:bottom w:val="none" w:sz="0" w:space="0" w:color="auto"/>
            <w:right w:val="none" w:sz="0" w:space="0" w:color="auto"/>
          </w:divBdr>
          <w:divsChild>
            <w:div w:id="1830900403">
              <w:marLeft w:val="0"/>
              <w:marRight w:val="0"/>
              <w:marTop w:val="0"/>
              <w:marBottom w:val="0"/>
              <w:divBdr>
                <w:top w:val="none" w:sz="0" w:space="0" w:color="auto"/>
                <w:left w:val="none" w:sz="0" w:space="0" w:color="auto"/>
                <w:bottom w:val="none" w:sz="0" w:space="0" w:color="auto"/>
                <w:right w:val="none" w:sz="0" w:space="0" w:color="auto"/>
              </w:divBdr>
            </w:div>
          </w:divsChild>
        </w:div>
        <w:div w:id="712655476">
          <w:marLeft w:val="0"/>
          <w:marRight w:val="0"/>
          <w:marTop w:val="0"/>
          <w:marBottom w:val="0"/>
          <w:divBdr>
            <w:top w:val="none" w:sz="0" w:space="0" w:color="auto"/>
            <w:left w:val="none" w:sz="0" w:space="0" w:color="auto"/>
            <w:bottom w:val="none" w:sz="0" w:space="0" w:color="auto"/>
            <w:right w:val="none" w:sz="0" w:space="0" w:color="auto"/>
          </w:divBdr>
          <w:divsChild>
            <w:div w:id="257519174">
              <w:marLeft w:val="0"/>
              <w:marRight w:val="0"/>
              <w:marTop w:val="0"/>
              <w:marBottom w:val="0"/>
              <w:divBdr>
                <w:top w:val="none" w:sz="0" w:space="0" w:color="auto"/>
                <w:left w:val="none" w:sz="0" w:space="0" w:color="auto"/>
                <w:bottom w:val="none" w:sz="0" w:space="0" w:color="auto"/>
                <w:right w:val="none" w:sz="0" w:space="0" w:color="auto"/>
              </w:divBdr>
            </w:div>
          </w:divsChild>
        </w:div>
        <w:div w:id="956519658">
          <w:marLeft w:val="0"/>
          <w:marRight w:val="0"/>
          <w:marTop w:val="0"/>
          <w:marBottom w:val="0"/>
          <w:divBdr>
            <w:top w:val="none" w:sz="0" w:space="0" w:color="auto"/>
            <w:left w:val="none" w:sz="0" w:space="0" w:color="auto"/>
            <w:bottom w:val="none" w:sz="0" w:space="0" w:color="auto"/>
            <w:right w:val="none" w:sz="0" w:space="0" w:color="auto"/>
          </w:divBdr>
          <w:divsChild>
            <w:div w:id="1900744506">
              <w:marLeft w:val="0"/>
              <w:marRight w:val="0"/>
              <w:marTop w:val="0"/>
              <w:marBottom w:val="0"/>
              <w:divBdr>
                <w:top w:val="none" w:sz="0" w:space="0" w:color="auto"/>
                <w:left w:val="none" w:sz="0" w:space="0" w:color="auto"/>
                <w:bottom w:val="none" w:sz="0" w:space="0" w:color="auto"/>
                <w:right w:val="none" w:sz="0" w:space="0" w:color="auto"/>
              </w:divBdr>
            </w:div>
            <w:div w:id="965236992">
              <w:marLeft w:val="0"/>
              <w:marRight w:val="0"/>
              <w:marTop w:val="0"/>
              <w:marBottom w:val="0"/>
              <w:divBdr>
                <w:top w:val="none" w:sz="0" w:space="0" w:color="auto"/>
                <w:left w:val="none" w:sz="0" w:space="0" w:color="auto"/>
                <w:bottom w:val="none" w:sz="0" w:space="0" w:color="auto"/>
                <w:right w:val="none" w:sz="0" w:space="0" w:color="auto"/>
              </w:divBdr>
            </w:div>
            <w:div w:id="2029864598">
              <w:marLeft w:val="0"/>
              <w:marRight w:val="0"/>
              <w:marTop w:val="0"/>
              <w:marBottom w:val="0"/>
              <w:divBdr>
                <w:top w:val="none" w:sz="0" w:space="0" w:color="auto"/>
                <w:left w:val="none" w:sz="0" w:space="0" w:color="auto"/>
                <w:bottom w:val="none" w:sz="0" w:space="0" w:color="auto"/>
                <w:right w:val="none" w:sz="0" w:space="0" w:color="auto"/>
              </w:divBdr>
            </w:div>
            <w:div w:id="3362856">
              <w:marLeft w:val="0"/>
              <w:marRight w:val="0"/>
              <w:marTop w:val="0"/>
              <w:marBottom w:val="0"/>
              <w:divBdr>
                <w:top w:val="none" w:sz="0" w:space="0" w:color="auto"/>
                <w:left w:val="none" w:sz="0" w:space="0" w:color="auto"/>
                <w:bottom w:val="none" w:sz="0" w:space="0" w:color="auto"/>
                <w:right w:val="none" w:sz="0" w:space="0" w:color="auto"/>
              </w:divBdr>
            </w:div>
            <w:div w:id="902906774">
              <w:marLeft w:val="0"/>
              <w:marRight w:val="0"/>
              <w:marTop w:val="0"/>
              <w:marBottom w:val="0"/>
              <w:divBdr>
                <w:top w:val="none" w:sz="0" w:space="0" w:color="auto"/>
                <w:left w:val="none" w:sz="0" w:space="0" w:color="auto"/>
                <w:bottom w:val="none" w:sz="0" w:space="0" w:color="auto"/>
                <w:right w:val="none" w:sz="0" w:space="0" w:color="auto"/>
              </w:divBdr>
            </w:div>
            <w:div w:id="1582566934">
              <w:marLeft w:val="0"/>
              <w:marRight w:val="0"/>
              <w:marTop w:val="0"/>
              <w:marBottom w:val="0"/>
              <w:divBdr>
                <w:top w:val="none" w:sz="0" w:space="0" w:color="auto"/>
                <w:left w:val="none" w:sz="0" w:space="0" w:color="auto"/>
                <w:bottom w:val="none" w:sz="0" w:space="0" w:color="auto"/>
                <w:right w:val="none" w:sz="0" w:space="0" w:color="auto"/>
              </w:divBdr>
            </w:div>
            <w:div w:id="1812677006">
              <w:marLeft w:val="0"/>
              <w:marRight w:val="0"/>
              <w:marTop w:val="0"/>
              <w:marBottom w:val="0"/>
              <w:divBdr>
                <w:top w:val="none" w:sz="0" w:space="0" w:color="auto"/>
                <w:left w:val="none" w:sz="0" w:space="0" w:color="auto"/>
                <w:bottom w:val="none" w:sz="0" w:space="0" w:color="auto"/>
                <w:right w:val="none" w:sz="0" w:space="0" w:color="auto"/>
              </w:divBdr>
            </w:div>
            <w:div w:id="194851350">
              <w:marLeft w:val="0"/>
              <w:marRight w:val="0"/>
              <w:marTop w:val="0"/>
              <w:marBottom w:val="0"/>
              <w:divBdr>
                <w:top w:val="none" w:sz="0" w:space="0" w:color="auto"/>
                <w:left w:val="none" w:sz="0" w:space="0" w:color="auto"/>
                <w:bottom w:val="none" w:sz="0" w:space="0" w:color="auto"/>
                <w:right w:val="none" w:sz="0" w:space="0" w:color="auto"/>
              </w:divBdr>
            </w:div>
            <w:div w:id="251401022">
              <w:marLeft w:val="0"/>
              <w:marRight w:val="0"/>
              <w:marTop w:val="0"/>
              <w:marBottom w:val="0"/>
              <w:divBdr>
                <w:top w:val="none" w:sz="0" w:space="0" w:color="auto"/>
                <w:left w:val="none" w:sz="0" w:space="0" w:color="auto"/>
                <w:bottom w:val="none" w:sz="0" w:space="0" w:color="auto"/>
                <w:right w:val="none" w:sz="0" w:space="0" w:color="auto"/>
              </w:divBdr>
            </w:div>
            <w:div w:id="1016736726">
              <w:marLeft w:val="0"/>
              <w:marRight w:val="0"/>
              <w:marTop w:val="0"/>
              <w:marBottom w:val="0"/>
              <w:divBdr>
                <w:top w:val="none" w:sz="0" w:space="0" w:color="auto"/>
                <w:left w:val="none" w:sz="0" w:space="0" w:color="auto"/>
                <w:bottom w:val="none" w:sz="0" w:space="0" w:color="auto"/>
                <w:right w:val="none" w:sz="0" w:space="0" w:color="auto"/>
              </w:divBdr>
            </w:div>
          </w:divsChild>
        </w:div>
        <w:div w:id="816268622">
          <w:marLeft w:val="0"/>
          <w:marRight w:val="0"/>
          <w:marTop w:val="0"/>
          <w:marBottom w:val="0"/>
          <w:divBdr>
            <w:top w:val="none" w:sz="0" w:space="0" w:color="auto"/>
            <w:left w:val="none" w:sz="0" w:space="0" w:color="auto"/>
            <w:bottom w:val="none" w:sz="0" w:space="0" w:color="auto"/>
            <w:right w:val="none" w:sz="0" w:space="0" w:color="auto"/>
          </w:divBdr>
          <w:divsChild>
            <w:div w:id="1223713803">
              <w:marLeft w:val="0"/>
              <w:marRight w:val="0"/>
              <w:marTop w:val="0"/>
              <w:marBottom w:val="0"/>
              <w:divBdr>
                <w:top w:val="none" w:sz="0" w:space="0" w:color="auto"/>
                <w:left w:val="none" w:sz="0" w:space="0" w:color="auto"/>
                <w:bottom w:val="none" w:sz="0" w:space="0" w:color="auto"/>
                <w:right w:val="none" w:sz="0" w:space="0" w:color="auto"/>
              </w:divBdr>
            </w:div>
            <w:div w:id="268051972">
              <w:marLeft w:val="0"/>
              <w:marRight w:val="0"/>
              <w:marTop w:val="0"/>
              <w:marBottom w:val="0"/>
              <w:divBdr>
                <w:top w:val="none" w:sz="0" w:space="0" w:color="auto"/>
                <w:left w:val="none" w:sz="0" w:space="0" w:color="auto"/>
                <w:bottom w:val="none" w:sz="0" w:space="0" w:color="auto"/>
                <w:right w:val="none" w:sz="0" w:space="0" w:color="auto"/>
              </w:divBdr>
            </w:div>
            <w:div w:id="179470022">
              <w:marLeft w:val="0"/>
              <w:marRight w:val="0"/>
              <w:marTop w:val="0"/>
              <w:marBottom w:val="0"/>
              <w:divBdr>
                <w:top w:val="none" w:sz="0" w:space="0" w:color="auto"/>
                <w:left w:val="none" w:sz="0" w:space="0" w:color="auto"/>
                <w:bottom w:val="none" w:sz="0" w:space="0" w:color="auto"/>
                <w:right w:val="none" w:sz="0" w:space="0" w:color="auto"/>
              </w:divBdr>
            </w:div>
            <w:div w:id="702480890">
              <w:marLeft w:val="0"/>
              <w:marRight w:val="0"/>
              <w:marTop w:val="0"/>
              <w:marBottom w:val="0"/>
              <w:divBdr>
                <w:top w:val="none" w:sz="0" w:space="0" w:color="auto"/>
                <w:left w:val="none" w:sz="0" w:space="0" w:color="auto"/>
                <w:bottom w:val="none" w:sz="0" w:space="0" w:color="auto"/>
                <w:right w:val="none" w:sz="0" w:space="0" w:color="auto"/>
              </w:divBdr>
            </w:div>
            <w:div w:id="1455245534">
              <w:marLeft w:val="0"/>
              <w:marRight w:val="0"/>
              <w:marTop w:val="0"/>
              <w:marBottom w:val="0"/>
              <w:divBdr>
                <w:top w:val="none" w:sz="0" w:space="0" w:color="auto"/>
                <w:left w:val="none" w:sz="0" w:space="0" w:color="auto"/>
                <w:bottom w:val="none" w:sz="0" w:space="0" w:color="auto"/>
                <w:right w:val="none" w:sz="0" w:space="0" w:color="auto"/>
              </w:divBdr>
            </w:div>
            <w:div w:id="48846411">
              <w:marLeft w:val="0"/>
              <w:marRight w:val="0"/>
              <w:marTop w:val="0"/>
              <w:marBottom w:val="0"/>
              <w:divBdr>
                <w:top w:val="none" w:sz="0" w:space="0" w:color="auto"/>
                <w:left w:val="none" w:sz="0" w:space="0" w:color="auto"/>
                <w:bottom w:val="none" w:sz="0" w:space="0" w:color="auto"/>
                <w:right w:val="none" w:sz="0" w:space="0" w:color="auto"/>
              </w:divBdr>
            </w:div>
            <w:div w:id="642076400">
              <w:marLeft w:val="0"/>
              <w:marRight w:val="0"/>
              <w:marTop w:val="0"/>
              <w:marBottom w:val="0"/>
              <w:divBdr>
                <w:top w:val="none" w:sz="0" w:space="0" w:color="auto"/>
                <w:left w:val="none" w:sz="0" w:space="0" w:color="auto"/>
                <w:bottom w:val="none" w:sz="0" w:space="0" w:color="auto"/>
                <w:right w:val="none" w:sz="0" w:space="0" w:color="auto"/>
              </w:divBdr>
            </w:div>
            <w:div w:id="1710910131">
              <w:marLeft w:val="0"/>
              <w:marRight w:val="0"/>
              <w:marTop w:val="0"/>
              <w:marBottom w:val="0"/>
              <w:divBdr>
                <w:top w:val="none" w:sz="0" w:space="0" w:color="auto"/>
                <w:left w:val="none" w:sz="0" w:space="0" w:color="auto"/>
                <w:bottom w:val="none" w:sz="0" w:space="0" w:color="auto"/>
                <w:right w:val="none" w:sz="0" w:space="0" w:color="auto"/>
              </w:divBdr>
            </w:div>
            <w:div w:id="85007240">
              <w:marLeft w:val="0"/>
              <w:marRight w:val="0"/>
              <w:marTop w:val="0"/>
              <w:marBottom w:val="0"/>
              <w:divBdr>
                <w:top w:val="none" w:sz="0" w:space="0" w:color="auto"/>
                <w:left w:val="none" w:sz="0" w:space="0" w:color="auto"/>
                <w:bottom w:val="none" w:sz="0" w:space="0" w:color="auto"/>
                <w:right w:val="none" w:sz="0" w:space="0" w:color="auto"/>
              </w:divBdr>
            </w:div>
            <w:div w:id="864758780">
              <w:marLeft w:val="0"/>
              <w:marRight w:val="0"/>
              <w:marTop w:val="0"/>
              <w:marBottom w:val="0"/>
              <w:divBdr>
                <w:top w:val="none" w:sz="0" w:space="0" w:color="auto"/>
                <w:left w:val="none" w:sz="0" w:space="0" w:color="auto"/>
                <w:bottom w:val="none" w:sz="0" w:space="0" w:color="auto"/>
                <w:right w:val="none" w:sz="0" w:space="0" w:color="auto"/>
              </w:divBdr>
            </w:div>
            <w:div w:id="1867062659">
              <w:marLeft w:val="0"/>
              <w:marRight w:val="0"/>
              <w:marTop w:val="0"/>
              <w:marBottom w:val="0"/>
              <w:divBdr>
                <w:top w:val="none" w:sz="0" w:space="0" w:color="auto"/>
                <w:left w:val="none" w:sz="0" w:space="0" w:color="auto"/>
                <w:bottom w:val="none" w:sz="0" w:space="0" w:color="auto"/>
                <w:right w:val="none" w:sz="0" w:space="0" w:color="auto"/>
              </w:divBdr>
            </w:div>
          </w:divsChild>
        </w:div>
        <w:div w:id="977763230">
          <w:marLeft w:val="0"/>
          <w:marRight w:val="0"/>
          <w:marTop w:val="0"/>
          <w:marBottom w:val="0"/>
          <w:divBdr>
            <w:top w:val="none" w:sz="0" w:space="0" w:color="auto"/>
            <w:left w:val="none" w:sz="0" w:space="0" w:color="auto"/>
            <w:bottom w:val="none" w:sz="0" w:space="0" w:color="auto"/>
            <w:right w:val="none" w:sz="0" w:space="0" w:color="auto"/>
          </w:divBdr>
          <w:divsChild>
            <w:div w:id="1752507187">
              <w:marLeft w:val="0"/>
              <w:marRight w:val="0"/>
              <w:marTop w:val="0"/>
              <w:marBottom w:val="0"/>
              <w:divBdr>
                <w:top w:val="none" w:sz="0" w:space="0" w:color="auto"/>
                <w:left w:val="none" w:sz="0" w:space="0" w:color="auto"/>
                <w:bottom w:val="none" w:sz="0" w:space="0" w:color="auto"/>
                <w:right w:val="none" w:sz="0" w:space="0" w:color="auto"/>
              </w:divBdr>
            </w:div>
            <w:div w:id="1850220686">
              <w:marLeft w:val="0"/>
              <w:marRight w:val="0"/>
              <w:marTop w:val="0"/>
              <w:marBottom w:val="0"/>
              <w:divBdr>
                <w:top w:val="none" w:sz="0" w:space="0" w:color="auto"/>
                <w:left w:val="none" w:sz="0" w:space="0" w:color="auto"/>
                <w:bottom w:val="none" w:sz="0" w:space="0" w:color="auto"/>
                <w:right w:val="none" w:sz="0" w:space="0" w:color="auto"/>
              </w:divBdr>
            </w:div>
            <w:div w:id="1713462095">
              <w:marLeft w:val="0"/>
              <w:marRight w:val="0"/>
              <w:marTop w:val="0"/>
              <w:marBottom w:val="0"/>
              <w:divBdr>
                <w:top w:val="none" w:sz="0" w:space="0" w:color="auto"/>
                <w:left w:val="none" w:sz="0" w:space="0" w:color="auto"/>
                <w:bottom w:val="none" w:sz="0" w:space="0" w:color="auto"/>
                <w:right w:val="none" w:sz="0" w:space="0" w:color="auto"/>
              </w:divBdr>
            </w:div>
            <w:div w:id="356933723">
              <w:marLeft w:val="0"/>
              <w:marRight w:val="0"/>
              <w:marTop w:val="0"/>
              <w:marBottom w:val="0"/>
              <w:divBdr>
                <w:top w:val="none" w:sz="0" w:space="0" w:color="auto"/>
                <w:left w:val="none" w:sz="0" w:space="0" w:color="auto"/>
                <w:bottom w:val="none" w:sz="0" w:space="0" w:color="auto"/>
                <w:right w:val="none" w:sz="0" w:space="0" w:color="auto"/>
              </w:divBdr>
            </w:div>
          </w:divsChild>
        </w:div>
        <w:div w:id="1000960204">
          <w:marLeft w:val="0"/>
          <w:marRight w:val="0"/>
          <w:marTop w:val="0"/>
          <w:marBottom w:val="0"/>
          <w:divBdr>
            <w:top w:val="none" w:sz="0" w:space="0" w:color="auto"/>
            <w:left w:val="none" w:sz="0" w:space="0" w:color="auto"/>
            <w:bottom w:val="none" w:sz="0" w:space="0" w:color="auto"/>
            <w:right w:val="none" w:sz="0" w:space="0" w:color="auto"/>
          </w:divBdr>
          <w:divsChild>
            <w:div w:id="201599480">
              <w:marLeft w:val="0"/>
              <w:marRight w:val="0"/>
              <w:marTop w:val="0"/>
              <w:marBottom w:val="0"/>
              <w:divBdr>
                <w:top w:val="none" w:sz="0" w:space="0" w:color="auto"/>
                <w:left w:val="none" w:sz="0" w:space="0" w:color="auto"/>
                <w:bottom w:val="none" w:sz="0" w:space="0" w:color="auto"/>
                <w:right w:val="none" w:sz="0" w:space="0" w:color="auto"/>
              </w:divBdr>
            </w:div>
            <w:div w:id="611933852">
              <w:marLeft w:val="0"/>
              <w:marRight w:val="0"/>
              <w:marTop w:val="0"/>
              <w:marBottom w:val="0"/>
              <w:divBdr>
                <w:top w:val="none" w:sz="0" w:space="0" w:color="auto"/>
                <w:left w:val="none" w:sz="0" w:space="0" w:color="auto"/>
                <w:bottom w:val="none" w:sz="0" w:space="0" w:color="auto"/>
                <w:right w:val="none" w:sz="0" w:space="0" w:color="auto"/>
              </w:divBdr>
            </w:div>
            <w:div w:id="579366861">
              <w:marLeft w:val="0"/>
              <w:marRight w:val="0"/>
              <w:marTop w:val="0"/>
              <w:marBottom w:val="0"/>
              <w:divBdr>
                <w:top w:val="none" w:sz="0" w:space="0" w:color="auto"/>
                <w:left w:val="none" w:sz="0" w:space="0" w:color="auto"/>
                <w:bottom w:val="none" w:sz="0" w:space="0" w:color="auto"/>
                <w:right w:val="none" w:sz="0" w:space="0" w:color="auto"/>
              </w:divBdr>
            </w:div>
            <w:div w:id="1171793209">
              <w:marLeft w:val="0"/>
              <w:marRight w:val="0"/>
              <w:marTop w:val="0"/>
              <w:marBottom w:val="0"/>
              <w:divBdr>
                <w:top w:val="none" w:sz="0" w:space="0" w:color="auto"/>
                <w:left w:val="none" w:sz="0" w:space="0" w:color="auto"/>
                <w:bottom w:val="none" w:sz="0" w:space="0" w:color="auto"/>
                <w:right w:val="none" w:sz="0" w:space="0" w:color="auto"/>
              </w:divBdr>
            </w:div>
            <w:div w:id="224802117">
              <w:marLeft w:val="0"/>
              <w:marRight w:val="0"/>
              <w:marTop w:val="0"/>
              <w:marBottom w:val="0"/>
              <w:divBdr>
                <w:top w:val="none" w:sz="0" w:space="0" w:color="auto"/>
                <w:left w:val="none" w:sz="0" w:space="0" w:color="auto"/>
                <w:bottom w:val="none" w:sz="0" w:space="0" w:color="auto"/>
                <w:right w:val="none" w:sz="0" w:space="0" w:color="auto"/>
              </w:divBdr>
            </w:div>
            <w:div w:id="944769018">
              <w:marLeft w:val="0"/>
              <w:marRight w:val="0"/>
              <w:marTop w:val="0"/>
              <w:marBottom w:val="0"/>
              <w:divBdr>
                <w:top w:val="none" w:sz="0" w:space="0" w:color="auto"/>
                <w:left w:val="none" w:sz="0" w:space="0" w:color="auto"/>
                <w:bottom w:val="none" w:sz="0" w:space="0" w:color="auto"/>
                <w:right w:val="none" w:sz="0" w:space="0" w:color="auto"/>
              </w:divBdr>
            </w:div>
            <w:div w:id="381713620">
              <w:marLeft w:val="0"/>
              <w:marRight w:val="0"/>
              <w:marTop w:val="0"/>
              <w:marBottom w:val="0"/>
              <w:divBdr>
                <w:top w:val="none" w:sz="0" w:space="0" w:color="auto"/>
                <w:left w:val="none" w:sz="0" w:space="0" w:color="auto"/>
                <w:bottom w:val="none" w:sz="0" w:space="0" w:color="auto"/>
                <w:right w:val="none" w:sz="0" w:space="0" w:color="auto"/>
              </w:divBdr>
            </w:div>
            <w:div w:id="1206747">
              <w:marLeft w:val="0"/>
              <w:marRight w:val="0"/>
              <w:marTop w:val="0"/>
              <w:marBottom w:val="0"/>
              <w:divBdr>
                <w:top w:val="none" w:sz="0" w:space="0" w:color="auto"/>
                <w:left w:val="none" w:sz="0" w:space="0" w:color="auto"/>
                <w:bottom w:val="none" w:sz="0" w:space="0" w:color="auto"/>
                <w:right w:val="none" w:sz="0" w:space="0" w:color="auto"/>
              </w:divBdr>
            </w:div>
            <w:div w:id="227308805">
              <w:marLeft w:val="0"/>
              <w:marRight w:val="0"/>
              <w:marTop w:val="0"/>
              <w:marBottom w:val="0"/>
              <w:divBdr>
                <w:top w:val="none" w:sz="0" w:space="0" w:color="auto"/>
                <w:left w:val="none" w:sz="0" w:space="0" w:color="auto"/>
                <w:bottom w:val="none" w:sz="0" w:space="0" w:color="auto"/>
                <w:right w:val="none" w:sz="0" w:space="0" w:color="auto"/>
              </w:divBdr>
            </w:div>
            <w:div w:id="1613125486">
              <w:marLeft w:val="0"/>
              <w:marRight w:val="0"/>
              <w:marTop w:val="0"/>
              <w:marBottom w:val="0"/>
              <w:divBdr>
                <w:top w:val="none" w:sz="0" w:space="0" w:color="auto"/>
                <w:left w:val="none" w:sz="0" w:space="0" w:color="auto"/>
                <w:bottom w:val="none" w:sz="0" w:space="0" w:color="auto"/>
                <w:right w:val="none" w:sz="0" w:space="0" w:color="auto"/>
              </w:divBdr>
            </w:div>
            <w:div w:id="924070539">
              <w:marLeft w:val="0"/>
              <w:marRight w:val="0"/>
              <w:marTop w:val="0"/>
              <w:marBottom w:val="0"/>
              <w:divBdr>
                <w:top w:val="none" w:sz="0" w:space="0" w:color="auto"/>
                <w:left w:val="none" w:sz="0" w:space="0" w:color="auto"/>
                <w:bottom w:val="none" w:sz="0" w:space="0" w:color="auto"/>
                <w:right w:val="none" w:sz="0" w:space="0" w:color="auto"/>
              </w:divBdr>
            </w:div>
            <w:div w:id="626162112">
              <w:marLeft w:val="0"/>
              <w:marRight w:val="0"/>
              <w:marTop w:val="0"/>
              <w:marBottom w:val="0"/>
              <w:divBdr>
                <w:top w:val="none" w:sz="0" w:space="0" w:color="auto"/>
                <w:left w:val="none" w:sz="0" w:space="0" w:color="auto"/>
                <w:bottom w:val="none" w:sz="0" w:space="0" w:color="auto"/>
                <w:right w:val="none" w:sz="0" w:space="0" w:color="auto"/>
              </w:divBdr>
            </w:div>
            <w:div w:id="158252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04476">
      <w:bodyDiv w:val="1"/>
      <w:marLeft w:val="0"/>
      <w:marRight w:val="0"/>
      <w:marTop w:val="0"/>
      <w:marBottom w:val="0"/>
      <w:divBdr>
        <w:top w:val="none" w:sz="0" w:space="0" w:color="auto"/>
        <w:left w:val="none" w:sz="0" w:space="0" w:color="auto"/>
        <w:bottom w:val="none" w:sz="0" w:space="0" w:color="auto"/>
        <w:right w:val="none" w:sz="0" w:space="0" w:color="auto"/>
      </w:divBdr>
      <w:divsChild>
        <w:div w:id="79107700">
          <w:marLeft w:val="0"/>
          <w:marRight w:val="0"/>
          <w:marTop w:val="0"/>
          <w:marBottom w:val="0"/>
          <w:divBdr>
            <w:top w:val="none" w:sz="0" w:space="0" w:color="auto"/>
            <w:left w:val="none" w:sz="0" w:space="0" w:color="auto"/>
            <w:bottom w:val="none" w:sz="0" w:space="0" w:color="auto"/>
            <w:right w:val="none" w:sz="0" w:space="0" w:color="auto"/>
          </w:divBdr>
          <w:divsChild>
            <w:div w:id="1147938058">
              <w:marLeft w:val="0"/>
              <w:marRight w:val="0"/>
              <w:marTop w:val="0"/>
              <w:marBottom w:val="0"/>
              <w:divBdr>
                <w:top w:val="none" w:sz="0" w:space="0" w:color="auto"/>
                <w:left w:val="none" w:sz="0" w:space="0" w:color="auto"/>
                <w:bottom w:val="none" w:sz="0" w:space="0" w:color="auto"/>
                <w:right w:val="none" w:sz="0" w:space="0" w:color="auto"/>
              </w:divBdr>
            </w:div>
          </w:divsChild>
        </w:div>
        <w:div w:id="1333025133">
          <w:marLeft w:val="0"/>
          <w:marRight w:val="0"/>
          <w:marTop w:val="0"/>
          <w:marBottom w:val="0"/>
          <w:divBdr>
            <w:top w:val="none" w:sz="0" w:space="0" w:color="auto"/>
            <w:left w:val="none" w:sz="0" w:space="0" w:color="auto"/>
            <w:bottom w:val="none" w:sz="0" w:space="0" w:color="auto"/>
            <w:right w:val="none" w:sz="0" w:space="0" w:color="auto"/>
          </w:divBdr>
          <w:divsChild>
            <w:div w:id="2091922973">
              <w:marLeft w:val="0"/>
              <w:marRight w:val="0"/>
              <w:marTop w:val="0"/>
              <w:marBottom w:val="0"/>
              <w:divBdr>
                <w:top w:val="none" w:sz="0" w:space="0" w:color="auto"/>
                <w:left w:val="none" w:sz="0" w:space="0" w:color="auto"/>
                <w:bottom w:val="none" w:sz="0" w:space="0" w:color="auto"/>
                <w:right w:val="none" w:sz="0" w:space="0" w:color="auto"/>
              </w:divBdr>
              <w:divsChild>
                <w:div w:id="60562143">
                  <w:marLeft w:val="0"/>
                  <w:marRight w:val="0"/>
                  <w:marTop w:val="30"/>
                  <w:marBottom w:val="30"/>
                  <w:divBdr>
                    <w:top w:val="none" w:sz="0" w:space="0" w:color="auto"/>
                    <w:left w:val="none" w:sz="0" w:space="0" w:color="auto"/>
                    <w:bottom w:val="none" w:sz="0" w:space="0" w:color="auto"/>
                    <w:right w:val="none" w:sz="0" w:space="0" w:color="auto"/>
                  </w:divBdr>
                  <w:divsChild>
                    <w:div w:id="1486898603">
                      <w:marLeft w:val="0"/>
                      <w:marRight w:val="0"/>
                      <w:marTop w:val="0"/>
                      <w:marBottom w:val="0"/>
                      <w:divBdr>
                        <w:top w:val="none" w:sz="0" w:space="0" w:color="auto"/>
                        <w:left w:val="none" w:sz="0" w:space="0" w:color="auto"/>
                        <w:bottom w:val="none" w:sz="0" w:space="0" w:color="auto"/>
                        <w:right w:val="none" w:sz="0" w:space="0" w:color="auto"/>
                      </w:divBdr>
                      <w:divsChild>
                        <w:div w:id="2116510028">
                          <w:marLeft w:val="0"/>
                          <w:marRight w:val="0"/>
                          <w:marTop w:val="0"/>
                          <w:marBottom w:val="0"/>
                          <w:divBdr>
                            <w:top w:val="none" w:sz="0" w:space="0" w:color="auto"/>
                            <w:left w:val="none" w:sz="0" w:space="0" w:color="auto"/>
                            <w:bottom w:val="none" w:sz="0" w:space="0" w:color="auto"/>
                            <w:right w:val="none" w:sz="0" w:space="0" w:color="auto"/>
                          </w:divBdr>
                        </w:div>
                      </w:divsChild>
                    </w:div>
                    <w:div w:id="1376932077">
                      <w:marLeft w:val="0"/>
                      <w:marRight w:val="0"/>
                      <w:marTop w:val="0"/>
                      <w:marBottom w:val="0"/>
                      <w:divBdr>
                        <w:top w:val="none" w:sz="0" w:space="0" w:color="auto"/>
                        <w:left w:val="none" w:sz="0" w:space="0" w:color="auto"/>
                        <w:bottom w:val="none" w:sz="0" w:space="0" w:color="auto"/>
                        <w:right w:val="none" w:sz="0" w:space="0" w:color="auto"/>
                      </w:divBdr>
                      <w:divsChild>
                        <w:div w:id="1159466160">
                          <w:marLeft w:val="0"/>
                          <w:marRight w:val="0"/>
                          <w:marTop w:val="0"/>
                          <w:marBottom w:val="0"/>
                          <w:divBdr>
                            <w:top w:val="none" w:sz="0" w:space="0" w:color="auto"/>
                            <w:left w:val="none" w:sz="0" w:space="0" w:color="auto"/>
                            <w:bottom w:val="none" w:sz="0" w:space="0" w:color="auto"/>
                            <w:right w:val="none" w:sz="0" w:space="0" w:color="auto"/>
                          </w:divBdr>
                        </w:div>
                      </w:divsChild>
                    </w:div>
                    <w:div w:id="1104617870">
                      <w:marLeft w:val="0"/>
                      <w:marRight w:val="0"/>
                      <w:marTop w:val="0"/>
                      <w:marBottom w:val="0"/>
                      <w:divBdr>
                        <w:top w:val="none" w:sz="0" w:space="0" w:color="auto"/>
                        <w:left w:val="none" w:sz="0" w:space="0" w:color="auto"/>
                        <w:bottom w:val="none" w:sz="0" w:space="0" w:color="auto"/>
                        <w:right w:val="none" w:sz="0" w:space="0" w:color="auto"/>
                      </w:divBdr>
                      <w:divsChild>
                        <w:div w:id="1152285096">
                          <w:marLeft w:val="0"/>
                          <w:marRight w:val="0"/>
                          <w:marTop w:val="0"/>
                          <w:marBottom w:val="0"/>
                          <w:divBdr>
                            <w:top w:val="none" w:sz="0" w:space="0" w:color="auto"/>
                            <w:left w:val="none" w:sz="0" w:space="0" w:color="auto"/>
                            <w:bottom w:val="none" w:sz="0" w:space="0" w:color="auto"/>
                            <w:right w:val="none" w:sz="0" w:space="0" w:color="auto"/>
                          </w:divBdr>
                        </w:div>
                      </w:divsChild>
                    </w:div>
                    <w:div w:id="844708394">
                      <w:marLeft w:val="0"/>
                      <w:marRight w:val="0"/>
                      <w:marTop w:val="0"/>
                      <w:marBottom w:val="0"/>
                      <w:divBdr>
                        <w:top w:val="none" w:sz="0" w:space="0" w:color="auto"/>
                        <w:left w:val="none" w:sz="0" w:space="0" w:color="auto"/>
                        <w:bottom w:val="none" w:sz="0" w:space="0" w:color="auto"/>
                        <w:right w:val="none" w:sz="0" w:space="0" w:color="auto"/>
                      </w:divBdr>
                      <w:divsChild>
                        <w:div w:id="1687093663">
                          <w:marLeft w:val="0"/>
                          <w:marRight w:val="0"/>
                          <w:marTop w:val="0"/>
                          <w:marBottom w:val="0"/>
                          <w:divBdr>
                            <w:top w:val="none" w:sz="0" w:space="0" w:color="auto"/>
                            <w:left w:val="none" w:sz="0" w:space="0" w:color="auto"/>
                            <w:bottom w:val="none" w:sz="0" w:space="0" w:color="auto"/>
                            <w:right w:val="none" w:sz="0" w:space="0" w:color="auto"/>
                          </w:divBdr>
                        </w:div>
                      </w:divsChild>
                    </w:div>
                    <w:div w:id="705760553">
                      <w:marLeft w:val="0"/>
                      <w:marRight w:val="0"/>
                      <w:marTop w:val="0"/>
                      <w:marBottom w:val="0"/>
                      <w:divBdr>
                        <w:top w:val="none" w:sz="0" w:space="0" w:color="auto"/>
                        <w:left w:val="none" w:sz="0" w:space="0" w:color="auto"/>
                        <w:bottom w:val="none" w:sz="0" w:space="0" w:color="auto"/>
                        <w:right w:val="none" w:sz="0" w:space="0" w:color="auto"/>
                      </w:divBdr>
                      <w:divsChild>
                        <w:div w:id="1932465465">
                          <w:marLeft w:val="0"/>
                          <w:marRight w:val="0"/>
                          <w:marTop w:val="0"/>
                          <w:marBottom w:val="0"/>
                          <w:divBdr>
                            <w:top w:val="none" w:sz="0" w:space="0" w:color="auto"/>
                            <w:left w:val="none" w:sz="0" w:space="0" w:color="auto"/>
                            <w:bottom w:val="none" w:sz="0" w:space="0" w:color="auto"/>
                            <w:right w:val="none" w:sz="0" w:space="0" w:color="auto"/>
                          </w:divBdr>
                        </w:div>
                      </w:divsChild>
                    </w:div>
                    <w:div w:id="1150635790">
                      <w:marLeft w:val="0"/>
                      <w:marRight w:val="0"/>
                      <w:marTop w:val="0"/>
                      <w:marBottom w:val="0"/>
                      <w:divBdr>
                        <w:top w:val="none" w:sz="0" w:space="0" w:color="auto"/>
                        <w:left w:val="none" w:sz="0" w:space="0" w:color="auto"/>
                        <w:bottom w:val="none" w:sz="0" w:space="0" w:color="auto"/>
                        <w:right w:val="none" w:sz="0" w:space="0" w:color="auto"/>
                      </w:divBdr>
                      <w:divsChild>
                        <w:div w:id="1985159132">
                          <w:marLeft w:val="0"/>
                          <w:marRight w:val="0"/>
                          <w:marTop w:val="0"/>
                          <w:marBottom w:val="0"/>
                          <w:divBdr>
                            <w:top w:val="none" w:sz="0" w:space="0" w:color="auto"/>
                            <w:left w:val="none" w:sz="0" w:space="0" w:color="auto"/>
                            <w:bottom w:val="none" w:sz="0" w:space="0" w:color="auto"/>
                            <w:right w:val="none" w:sz="0" w:space="0" w:color="auto"/>
                          </w:divBdr>
                        </w:div>
                      </w:divsChild>
                    </w:div>
                    <w:div w:id="1888105524">
                      <w:marLeft w:val="0"/>
                      <w:marRight w:val="0"/>
                      <w:marTop w:val="0"/>
                      <w:marBottom w:val="0"/>
                      <w:divBdr>
                        <w:top w:val="none" w:sz="0" w:space="0" w:color="auto"/>
                        <w:left w:val="none" w:sz="0" w:space="0" w:color="auto"/>
                        <w:bottom w:val="none" w:sz="0" w:space="0" w:color="auto"/>
                        <w:right w:val="none" w:sz="0" w:space="0" w:color="auto"/>
                      </w:divBdr>
                      <w:divsChild>
                        <w:div w:id="1582329413">
                          <w:marLeft w:val="0"/>
                          <w:marRight w:val="0"/>
                          <w:marTop w:val="0"/>
                          <w:marBottom w:val="0"/>
                          <w:divBdr>
                            <w:top w:val="none" w:sz="0" w:space="0" w:color="auto"/>
                            <w:left w:val="none" w:sz="0" w:space="0" w:color="auto"/>
                            <w:bottom w:val="none" w:sz="0" w:space="0" w:color="auto"/>
                            <w:right w:val="none" w:sz="0" w:space="0" w:color="auto"/>
                          </w:divBdr>
                        </w:div>
                      </w:divsChild>
                    </w:div>
                    <w:div w:id="772281309">
                      <w:marLeft w:val="0"/>
                      <w:marRight w:val="0"/>
                      <w:marTop w:val="0"/>
                      <w:marBottom w:val="0"/>
                      <w:divBdr>
                        <w:top w:val="none" w:sz="0" w:space="0" w:color="auto"/>
                        <w:left w:val="none" w:sz="0" w:space="0" w:color="auto"/>
                        <w:bottom w:val="none" w:sz="0" w:space="0" w:color="auto"/>
                        <w:right w:val="none" w:sz="0" w:space="0" w:color="auto"/>
                      </w:divBdr>
                      <w:divsChild>
                        <w:div w:id="1376853672">
                          <w:marLeft w:val="0"/>
                          <w:marRight w:val="0"/>
                          <w:marTop w:val="0"/>
                          <w:marBottom w:val="0"/>
                          <w:divBdr>
                            <w:top w:val="none" w:sz="0" w:space="0" w:color="auto"/>
                            <w:left w:val="none" w:sz="0" w:space="0" w:color="auto"/>
                            <w:bottom w:val="none" w:sz="0" w:space="0" w:color="auto"/>
                            <w:right w:val="none" w:sz="0" w:space="0" w:color="auto"/>
                          </w:divBdr>
                        </w:div>
                      </w:divsChild>
                    </w:div>
                    <w:div w:id="1299996872">
                      <w:marLeft w:val="0"/>
                      <w:marRight w:val="0"/>
                      <w:marTop w:val="0"/>
                      <w:marBottom w:val="0"/>
                      <w:divBdr>
                        <w:top w:val="none" w:sz="0" w:space="0" w:color="auto"/>
                        <w:left w:val="none" w:sz="0" w:space="0" w:color="auto"/>
                        <w:bottom w:val="none" w:sz="0" w:space="0" w:color="auto"/>
                        <w:right w:val="none" w:sz="0" w:space="0" w:color="auto"/>
                      </w:divBdr>
                      <w:divsChild>
                        <w:div w:id="27552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2869">
              <w:marLeft w:val="0"/>
              <w:marRight w:val="0"/>
              <w:marTop w:val="0"/>
              <w:marBottom w:val="0"/>
              <w:divBdr>
                <w:top w:val="none" w:sz="0" w:space="0" w:color="auto"/>
                <w:left w:val="none" w:sz="0" w:space="0" w:color="auto"/>
                <w:bottom w:val="none" w:sz="0" w:space="0" w:color="auto"/>
                <w:right w:val="none" w:sz="0" w:space="0" w:color="auto"/>
              </w:divBdr>
            </w:div>
          </w:divsChild>
        </w:div>
        <w:div w:id="1062026469">
          <w:marLeft w:val="0"/>
          <w:marRight w:val="0"/>
          <w:marTop w:val="0"/>
          <w:marBottom w:val="0"/>
          <w:divBdr>
            <w:top w:val="none" w:sz="0" w:space="0" w:color="auto"/>
            <w:left w:val="none" w:sz="0" w:space="0" w:color="auto"/>
            <w:bottom w:val="none" w:sz="0" w:space="0" w:color="auto"/>
            <w:right w:val="none" w:sz="0" w:space="0" w:color="auto"/>
          </w:divBdr>
          <w:divsChild>
            <w:div w:id="1452241402">
              <w:marLeft w:val="0"/>
              <w:marRight w:val="0"/>
              <w:marTop w:val="0"/>
              <w:marBottom w:val="0"/>
              <w:divBdr>
                <w:top w:val="none" w:sz="0" w:space="0" w:color="auto"/>
                <w:left w:val="none" w:sz="0" w:space="0" w:color="auto"/>
                <w:bottom w:val="none" w:sz="0" w:space="0" w:color="auto"/>
                <w:right w:val="none" w:sz="0" w:space="0" w:color="auto"/>
              </w:divBdr>
            </w:div>
          </w:divsChild>
        </w:div>
        <w:div w:id="1153790009">
          <w:marLeft w:val="0"/>
          <w:marRight w:val="0"/>
          <w:marTop w:val="0"/>
          <w:marBottom w:val="0"/>
          <w:divBdr>
            <w:top w:val="none" w:sz="0" w:space="0" w:color="auto"/>
            <w:left w:val="none" w:sz="0" w:space="0" w:color="auto"/>
            <w:bottom w:val="none" w:sz="0" w:space="0" w:color="auto"/>
            <w:right w:val="none" w:sz="0" w:space="0" w:color="auto"/>
          </w:divBdr>
          <w:divsChild>
            <w:div w:id="796413078">
              <w:marLeft w:val="0"/>
              <w:marRight w:val="0"/>
              <w:marTop w:val="0"/>
              <w:marBottom w:val="0"/>
              <w:divBdr>
                <w:top w:val="none" w:sz="0" w:space="0" w:color="auto"/>
                <w:left w:val="none" w:sz="0" w:space="0" w:color="auto"/>
                <w:bottom w:val="none" w:sz="0" w:space="0" w:color="auto"/>
                <w:right w:val="none" w:sz="0" w:space="0" w:color="auto"/>
              </w:divBdr>
            </w:div>
          </w:divsChild>
        </w:div>
        <w:div w:id="1913738719">
          <w:marLeft w:val="0"/>
          <w:marRight w:val="0"/>
          <w:marTop w:val="0"/>
          <w:marBottom w:val="0"/>
          <w:divBdr>
            <w:top w:val="none" w:sz="0" w:space="0" w:color="auto"/>
            <w:left w:val="none" w:sz="0" w:space="0" w:color="auto"/>
            <w:bottom w:val="none" w:sz="0" w:space="0" w:color="auto"/>
            <w:right w:val="none" w:sz="0" w:space="0" w:color="auto"/>
          </w:divBdr>
          <w:divsChild>
            <w:div w:id="831682799">
              <w:marLeft w:val="0"/>
              <w:marRight w:val="0"/>
              <w:marTop w:val="0"/>
              <w:marBottom w:val="0"/>
              <w:divBdr>
                <w:top w:val="none" w:sz="0" w:space="0" w:color="auto"/>
                <w:left w:val="none" w:sz="0" w:space="0" w:color="auto"/>
                <w:bottom w:val="none" w:sz="0" w:space="0" w:color="auto"/>
                <w:right w:val="none" w:sz="0" w:space="0" w:color="auto"/>
              </w:divBdr>
              <w:divsChild>
                <w:div w:id="2146316693">
                  <w:marLeft w:val="0"/>
                  <w:marRight w:val="0"/>
                  <w:marTop w:val="30"/>
                  <w:marBottom w:val="30"/>
                  <w:divBdr>
                    <w:top w:val="none" w:sz="0" w:space="0" w:color="auto"/>
                    <w:left w:val="none" w:sz="0" w:space="0" w:color="auto"/>
                    <w:bottom w:val="none" w:sz="0" w:space="0" w:color="auto"/>
                    <w:right w:val="none" w:sz="0" w:space="0" w:color="auto"/>
                  </w:divBdr>
                  <w:divsChild>
                    <w:div w:id="1173031626">
                      <w:marLeft w:val="0"/>
                      <w:marRight w:val="0"/>
                      <w:marTop w:val="0"/>
                      <w:marBottom w:val="0"/>
                      <w:divBdr>
                        <w:top w:val="none" w:sz="0" w:space="0" w:color="auto"/>
                        <w:left w:val="none" w:sz="0" w:space="0" w:color="auto"/>
                        <w:bottom w:val="none" w:sz="0" w:space="0" w:color="auto"/>
                        <w:right w:val="none" w:sz="0" w:space="0" w:color="auto"/>
                      </w:divBdr>
                      <w:divsChild>
                        <w:div w:id="1854999181">
                          <w:marLeft w:val="0"/>
                          <w:marRight w:val="0"/>
                          <w:marTop w:val="0"/>
                          <w:marBottom w:val="0"/>
                          <w:divBdr>
                            <w:top w:val="none" w:sz="0" w:space="0" w:color="auto"/>
                            <w:left w:val="none" w:sz="0" w:space="0" w:color="auto"/>
                            <w:bottom w:val="none" w:sz="0" w:space="0" w:color="auto"/>
                            <w:right w:val="none" w:sz="0" w:space="0" w:color="auto"/>
                          </w:divBdr>
                        </w:div>
                      </w:divsChild>
                    </w:div>
                    <w:div w:id="80413429">
                      <w:marLeft w:val="0"/>
                      <w:marRight w:val="0"/>
                      <w:marTop w:val="0"/>
                      <w:marBottom w:val="0"/>
                      <w:divBdr>
                        <w:top w:val="none" w:sz="0" w:space="0" w:color="auto"/>
                        <w:left w:val="none" w:sz="0" w:space="0" w:color="auto"/>
                        <w:bottom w:val="none" w:sz="0" w:space="0" w:color="auto"/>
                        <w:right w:val="none" w:sz="0" w:space="0" w:color="auto"/>
                      </w:divBdr>
                      <w:divsChild>
                        <w:div w:id="1816607304">
                          <w:marLeft w:val="0"/>
                          <w:marRight w:val="0"/>
                          <w:marTop w:val="0"/>
                          <w:marBottom w:val="0"/>
                          <w:divBdr>
                            <w:top w:val="none" w:sz="0" w:space="0" w:color="auto"/>
                            <w:left w:val="none" w:sz="0" w:space="0" w:color="auto"/>
                            <w:bottom w:val="none" w:sz="0" w:space="0" w:color="auto"/>
                            <w:right w:val="none" w:sz="0" w:space="0" w:color="auto"/>
                          </w:divBdr>
                        </w:div>
                      </w:divsChild>
                    </w:div>
                    <w:div w:id="1922593871">
                      <w:marLeft w:val="0"/>
                      <w:marRight w:val="0"/>
                      <w:marTop w:val="0"/>
                      <w:marBottom w:val="0"/>
                      <w:divBdr>
                        <w:top w:val="none" w:sz="0" w:space="0" w:color="auto"/>
                        <w:left w:val="none" w:sz="0" w:space="0" w:color="auto"/>
                        <w:bottom w:val="none" w:sz="0" w:space="0" w:color="auto"/>
                        <w:right w:val="none" w:sz="0" w:space="0" w:color="auto"/>
                      </w:divBdr>
                      <w:divsChild>
                        <w:div w:id="31078907">
                          <w:marLeft w:val="0"/>
                          <w:marRight w:val="0"/>
                          <w:marTop w:val="0"/>
                          <w:marBottom w:val="0"/>
                          <w:divBdr>
                            <w:top w:val="none" w:sz="0" w:space="0" w:color="auto"/>
                            <w:left w:val="none" w:sz="0" w:space="0" w:color="auto"/>
                            <w:bottom w:val="none" w:sz="0" w:space="0" w:color="auto"/>
                            <w:right w:val="none" w:sz="0" w:space="0" w:color="auto"/>
                          </w:divBdr>
                        </w:div>
                      </w:divsChild>
                    </w:div>
                    <w:div w:id="1012876323">
                      <w:marLeft w:val="0"/>
                      <w:marRight w:val="0"/>
                      <w:marTop w:val="0"/>
                      <w:marBottom w:val="0"/>
                      <w:divBdr>
                        <w:top w:val="none" w:sz="0" w:space="0" w:color="auto"/>
                        <w:left w:val="none" w:sz="0" w:space="0" w:color="auto"/>
                        <w:bottom w:val="none" w:sz="0" w:space="0" w:color="auto"/>
                        <w:right w:val="none" w:sz="0" w:space="0" w:color="auto"/>
                      </w:divBdr>
                      <w:divsChild>
                        <w:div w:id="487937635">
                          <w:marLeft w:val="0"/>
                          <w:marRight w:val="0"/>
                          <w:marTop w:val="0"/>
                          <w:marBottom w:val="0"/>
                          <w:divBdr>
                            <w:top w:val="none" w:sz="0" w:space="0" w:color="auto"/>
                            <w:left w:val="none" w:sz="0" w:space="0" w:color="auto"/>
                            <w:bottom w:val="none" w:sz="0" w:space="0" w:color="auto"/>
                            <w:right w:val="none" w:sz="0" w:space="0" w:color="auto"/>
                          </w:divBdr>
                        </w:div>
                      </w:divsChild>
                    </w:div>
                    <w:div w:id="1512722815">
                      <w:marLeft w:val="0"/>
                      <w:marRight w:val="0"/>
                      <w:marTop w:val="0"/>
                      <w:marBottom w:val="0"/>
                      <w:divBdr>
                        <w:top w:val="none" w:sz="0" w:space="0" w:color="auto"/>
                        <w:left w:val="none" w:sz="0" w:space="0" w:color="auto"/>
                        <w:bottom w:val="none" w:sz="0" w:space="0" w:color="auto"/>
                        <w:right w:val="none" w:sz="0" w:space="0" w:color="auto"/>
                      </w:divBdr>
                      <w:divsChild>
                        <w:div w:id="291639203">
                          <w:marLeft w:val="0"/>
                          <w:marRight w:val="0"/>
                          <w:marTop w:val="0"/>
                          <w:marBottom w:val="0"/>
                          <w:divBdr>
                            <w:top w:val="none" w:sz="0" w:space="0" w:color="auto"/>
                            <w:left w:val="none" w:sz="0" w:space="0" w:color="auto"/>
                            <w:bottom w:val="none" w:sz="0" w:space="0" w:color="auto"/>
                            <w:right w:val="none" w:sz="0" w:space="0" w:color="auto"/>
                          </w:divBdr>
                        </w:div>
                      </w:divsChild>
                    </w:div>
                    <w:div w:id="621502431">
                      <w:marLeft w:val="0"/>
                      <w:marRight w:val="0"/>
                      <w:marTop w:val="0"/>
                      <w:marBottom w:val="0"/>
                      <w:divBdr>
                        <w:top w:val="none" w:sz="0" w:space="0" w:color="auto"/>
                        <w:left w:val="none" w:sz="0" w:space="0" w:color="auto"/>
                        <w:bottom w:val="none" w:sz="0" w:space="0" w:color="auto"/>
                        <w:right w:val="none" w:sz="0" w:space="0" w:color="auto"/>
                      </w:divBdr>
                      <w:divsChild>
                        <w:div w:id="110244528">
                          <w:marLeft w:val="0"/>
                          <w:marRight w:val="0"/>
                          <w:marTop w:val="0"/>
                          <w:marBottom w:val="0"/>
                          <w:divBdr>
                            <w:top w:val="none" w:sz="0" w:space="0" w:color="auto"/>
                            <w:left w:val="none" w:sz="0" w:space="0" w:color="auto"/>
                            <w:bottom w:val="none" w:sz="0" w:space="0" w:color="auto"/>
                            <w:right w:val="none" w:sz="0" w:space="0" w:color="auto"/>
                          </w:divBdr>
                        </w:div>
                      </w:divsChild>
                    </w:div>
                    <w:div w:id="795686749">
                      <w:marLeft w:val="0"/>
                      <w:marRight w:val="0"/>
                      <w:marTop w:val="0"/>
                      <w:marBottom w:val="0"/>
                      <w:divBdr>
                        <w:top w:val="none" w:sz="0" w:space="0" w:color="auto"/>
                        <w:left w:val="none" w:sz="0" w:space="0" w:color="auto"/>
                        <w:bottom w:val="none" w:sz="0" w:space="0" w:color="auto"/>
                        <w:right w:val="none" w:sz="0" w:space="0" w:color="auto"/>
                      </w:divBdr>
                      <w:divsChild>
                        <w:div w:id="481696190">
                          <w:marLeft w:val="0"/>
                          <w:marRight w:val="0"/>
                          <w:marTop w:val="0"/>
                          <w:marBottom w:val="0"/>
                          <w:divBdr>
                            <w:top w:val="none" w:sz="0" w:space="0" w:color="auto"/>
                            <w:left w:val="none" w:sz="0" w:space="0" w:color="auto"/>
                            <w:bottom w:val="none" w:sz="0" w:space="0" w:color="auto"/>
                            <w:right w:val="none" w:sz="0" w:space="0" w:color="auto"/>
                          </w:divBdr>
                        </w:div>
                      </w:divsChild>
                    </w:div>
                    <w:div w:id="1156645434">
                      <w:marLeft w:val="0"/>
                      <w:marRight w:val="0"/>
                      <w:marTop w:val="0"/>
                      <w:marBottom w:val="0"/>
                      <w:divBdr>
                        <w:top w:val="none" w:sz="0" w:space="0" w:color="auto"/>
                        <w:left w:val="none" w:sz="0" w:space="0" w:color="auto"/>
                        <w:bottom w:val="none" w:sz="0" w:space="0" w:color="auto"/>
                        <w:right w:val="none" w:sz="0" w:space="0" w:color="auto"/>
                      </w:divBdr>
                      <w:divsChild>
                        <w:div w:id="1886722915">
                          <w:marLeft w:val="0"/>
                          <w:marRight w:val="0"/>
                          <w:marTop w:val="0"/>
                          <w:marBottom w:val="0"/>
                          <w:divBdr>
                            <w:top w:val="none" w:sz="0" w:space="0" w:color="auto"/>
                            <w:left w:val="none" w:sz="0" w:space="0" w:color="auto"/>
                            <w:bottom w:val="none" w:sz="0" w:space="0" w:color="auto"/>
                            <w:right w:val="none" w:sz="0" w:space="0" w:color="auto"/>
                          </w:divBdr>
                        </w:div>
                      </w:divsChild>
                    </w:div>
                    <w:div w:id="181867525">
                      <w:marLeft w:val="0"/>
                      <w:marRight w:val="0"/>
                      <w:marTop w:val="0"/>
                      <w:marBottom w:val="0"/>
                      <w:divBdr>
                        <w:top w:val="none" w:sz="0" w:space="0" w:color="auto"/>
                        <w:left w:val="none" w:sz="0" w:space="0" w:color="auto"/>
                        <w:bottom w:val="none" w:sz="0" w:space="0" w:color="auto"/>
                        <w:right w:val="none" w:sz="0" w:space="0" w:color="auto"/>
                      </w:divBdr>
                      <w:divsChild>
                        <w:div w:id="170945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30280">
              <w:marLeft w:val="0"/>
              <w:marRight w:val="0"/>
              <w:marTop w:val="0"/>
              <w:marBottom w:val="0"/>
              <w:divBdr>
                <w:top w:val="none" w:sz="0" w:space="0" w:color="auto"/>
                <w:left w:val="none" w:sz="0" w:space="0" w:color="auto"/>
                <w:bottom w:val="none" w:sz="0" w:space="0" w:color="auto"/>
                <w:right w:val="none" w:sz="0" w:space="0" w:color="auto"/>
              </w:divBdr>
            </w:div>
          </w:divsChild>
        </w:div>
        <w:div w:id="1540698492">
          <w:marLeft w:val="0"/>
          <w:marRight w:val="0"/>
          <w:marTop w:val="0"/>
          <w:marBottom w:val="0"/>
          <w:divBdr>
            <w:top w:val="none" w:sz="0" w:space="0" w:color="auto"/>
            <w:left w:val="none" w:sz="0" w:space="0" w:color="auto"/>
            <w:bottom w:val="none" w:sz="0" w:space="0" w:color="auto"/>
            <w:right w:val="none" w:sz="0" w:space="0" w:color="auto"/>
          </w:divBdr>
          <w:divsChild>
            <w:div w:id="2017031278">
              <w:marLeft w:val="0"/>
              <w:marRight w:val="0"/>
              <w:marTop w:val="0"/>
              <w:marBottom w:val="0"/>
              <w:divBdr>
                <w:top w:val="none" w:sz="0" w:space="0" w:color="auto"/>
                <w:left w:val="none" w:sz="0" w:space="0" w:color="auto"/>
                <w:bottom w:val="none" w:sz="0" w:space="0" w:color="auto"/>
                <w:right w:val="none" w:sz="0" w:space="0" w:color="auto"/>
              </w:divBdr>
            </w:div>
          </w:divsChild>
        </w:div>
        <w:div w:id="770664889">
          <w:marLeft w:val="0"/>
          <w:marRight w:val="0"/>
          <w:marTop w:val="0"/>
          <w:marBottom w:val="0"/>
          <w:divBdr>
            <w:top w:val="none" w:sz="0" w:space="0" w:color="auto"/>
            <w:left w:val="none" w:sz="0" w:space="0" w:color="auto"/>
            <w:bottom w:val="none" w:sz="0" w:space="0" w:color="auto"/>
            <w:right w:val="none" w:sz="0" w:space="0" w:color="auto"/>
          </w:divBdr>
          <w:divsChild>
            <w:div w:id="2123377902">
              <w:marLeft w:val="0"/>
              <w:marRight w:val="0"/>
              <w:marTop w:val="0"/>
              <w:marBottom w:val="0"/>
              <w:divBdr>
                <w:top w:val="none" w:sz="0" w:space="0" w:color="auto"/>
                <w:left w:val="none" w:sz="0" w:space="0" w:color="auto"/>
                <w:bottom w:val="none" w:sz="0" w:space="0" w:color="auto"/>
                <w:right w:val="none" w:sz="0" w:space="0" w:color="auto"/>
              </w:divBdr>
            </w:div>
          </w:divsChild>
        </w:div>
        <w:div w:id="303119943">
          <w:marLeft w:val="0"/>
          <w:marRight w:val="0"/>
          <w:marTop w:val="0"/>
          <w:marBottom w:val="0"/>
          <w:divBdr>
            <w:top w:val="none" w:sz="0" w:space="0" w:color="auto"/>
            <w:left w:val="none" w:sz="0" w:space="0" w:color="auto"/>
            <w:bottom w:val="none" w:sz="0" w:space="0" w:color="auto"/>
            <w:right w:val="none" w:sz="0" w:space="0" w:color="auto"/>
          </w:divBdr>
          <w:divsChild>
            <w:div w:id="1694530739">
              <w:marLeft w:val="0"/>
              <w:marRight w:val="0"/>
              <w:marTop w:val="0"/>
              <w:marBottom w:val="0"/>
              <w:divBdr>
                <w:top w:val="none" w:sz="0" w:space="0" w:color="auto"/>
                <w:left w:val="none" w:sz="0" w:space="0" w:color="auto"/>
                <w:bottom w:val="none" w:sz="0" w:space="0" w:color="auto"/>
                <w:right w:val="none" w:sz="0" w:space="0" w:color="auto"/>
              </w:divBdr>
              <w:divsChild>
                <w:div w:id="1965308441">
                  <w:marLeft w:val="0"/>
                  <w:marRight w:val="0"/>
                  <w:marTop w:val="30"/>
                  <w:marBottom w:val="30"/>
                  <w:divBdr>
                    <w:top w:val="none" w:sz="0" w:space="0" w:color="auto"/>
                    <w:left w:val="none" w:sz="0" w:space="0" w:color="auto"/>
                    <w:bottom w:val="none" w:sz="0" w:space="0" w:color="auto"/>
                    <w:right w:val="none" w:sz="0" w:space="0" w:color="auto"/>
                  </w:divBdr>
                  <w:divsChild>
                    <w:div w:id="2068453054">
                      <w:marLeft w:val="0"/>
                      <w:marRight w:val="0"/>
                      <w:marTop w:val="0"/>
                      <w:marBottom w:val="0"/>
                      <w:divBdr>
                        <w:top w:val="none" w:sz="0" w:space="0" w:color="auto"/>
                        <w:left w:val="none" w:sz="0" w:space="0" w:color="auto"/>
                        <w:bottom w:val="none" w:sz="0" w:space="0" w:color="auto"/>
                        <w:right w:val="none" w:sz="0" w:space="0" w:color="auto"/>
                      </w:divBdr>
                      <w:divsChild>
                        <w:div w:id="1965844510">
                          <w:marLeft w:val="0"/>
                          <w:marRight w:val="0"/>
                          <w:marTop w:val="0"/>
                          <w:marBottom w:val="0"/>
                          <w:divBdr>
                            <w:top w:val="none" w:sz="0" w:space="0" w:color="auto"/>
                            <w:left w:val="none" w:sz="0" w:space="0" w:color="auto"/>
                            <w:bottom w:val="none" w:sz="0" w:space="0" w:color="auto"/>
                            <w:right w:val="none" w:sz="0" w:space="0" w:color="auto"/>
                          </w:divBdr>
                        </w:div>
                      </w:divsChild>
                    </w:div>
                    <w:div w:id="155846074">
                      <w:marLeft w:val="0"/>
                      <w:marRight w:val="0"/>
                      <w:marTop w:val="0"/>
                      <w:marBottom w:val="0"/>
                      <w:divBdr>
                        <w:top w:val="none" w:sz="0" w:space="0" w:color="auto"/>
                        <w:left w:val="none" w:sz="0" w:space="0" w:color="auto"/>
                        <w:bottom w:val="none" w:sz="0" w:space="0" w:color="auto"/>
                        <w:right w:val="none" w:sz="0" w:space="0" w:color="auto"/>
                      </w:divBdr>
                      <w:divsChild>
                        <w:div w:id="406421343">
                          <w:marLeft w:val="0"/>
                          <w:marRight w:val="0"/>
                          <w:marTop w:val="0"/>
                          <w:marBottom w:val="0"/>
                          <w:divBdr>
                            <w:top w:val="none" w:sz="0" w:space="0" w:color="auto"/>
                            <w:left w:val="none" w:sz="0" w:space="0" w:color="auto"/>
                            <w:bottom w:val="none" w:sz="0" w:space="0" w:color="auto"/>
                            <w:right w:val="none" w:sz="0" w:space="0" w:color="auto"/>
                          </w:divBdr>
                        </w:div>
                      </w:divsChild>
                    </w:div>
                    <w:div w:id="1869248845">
                      <w:marLeft w:val="0"/>
                      <w:marRight w:val="0"/>
                      <w:marTop w:val="0"/>
                      <w:marBottom w:val="0"/>
                      <w:divBdr>
                        <w:top w:val="none" w:sz="0" w:space="0" w:color="auto"/>
                        <w:left w:val="none" w:sz="0" w:space="0" w:color="auto"/>
                        <w:bottom w:val="none" w:sz="0" w:space="0" w:color="auto"/>
                        <w:right w:val="none" w:sz="0" w:space="0" w:color="auto"/>
                      </w:divBdr>
                      <w:divsChild>
                        <w:div w:id="1072582804">
                          <w:marLeft w:val="0"/>
                          <w:marRight w:val="0"/>
                          <w:marTop w:val="0"/>
                          <w:marBottom w:val="0"/>
                          <w:divBdr>
                            <w:top w:val="none" w:sz="0" w:space="0" w:color="auto"/>
                            <w:left w:val="none" w:sz="0" w:space="0" w:color="auto"/>
                            <w:bottom w:val="none" w:sz="0" w:space="0" w:color="auto"/>
                            <w:right w:val="none" w:sz="0" w:space="0" w:color="auto"/>
                          </w:divBdr>
                        </w:div>
                      </w:divsChild>
                    </w:div>
                    <w:div w:id="869951752">
                      <w:marLeft w:val="0"/>
                      <w:marRight w:val="0"/>
                      <w:marTop w:val="0"/>
                      <w:marBottom w:val="0"/>
                      <w:divBdr>
                        <w:top w:val="none" w:sz="0" w:space="0" w:color="auto"/>
                        <w:left w:val="none" w:sz="0" w:space="0" w:color="auto"/>
                        <w:bottom w:val="none" w:sz="0" w:space="0" w:color="auto"/>
                        <w:right w:val="none" w:sz="0" w:space="0" w:color="auto"/>
                      </w:divBdr>
                      <w:divsChild>
                        <w:div w:id="772408258">
                          <w:marLeft w:val="0"/>
                          <w:marRight w:val="0"/>
                          <w:marTop w:val="0"/>
                          <w:marBottom w:val="0"/>
                          <w:divBdr>
                            <w:top w:val="none" w:sz="0" w:space="0" w:color="auto"/>
                            <w:left w:val="none" w:sz="0" w:space="0" w:color="auto"/>
                            <w:bottom w:val="none" w:sz="0" w:space="0" w:color="auto"/>
                            <w:right w:val="none" w:sz="0" w:space="0" w:color="auto"/>
                          </w:divBdr>
                        </w:div>
                      </w:divsChild>
                    </w:div>
                    <w:div w:id="982932948">
                      <w:marLeft w:val="0"/>
                      <w:marRight w:val="0"/>
                      <w:marTop w:val="0"/>
                      <w:marBottom w:val="0"/>
                      <w:divBdr>
                        <w:top w:val="none" w:sz="0" w:space="0" w:color="auto"/>
                        <w:left w:val="none" w:sz="0" w:space="0" w:color="auto"/>
                        <w:bottom w:val="none" w:sz="0" w:space="0" w:color="auto"/>
                        <w:right w:val="none" w:sz="0" w:space="0" w:color="auto"/>
                      </w:divBdr>
                      <w:divsChild>
                        <w:div w:id="1936204177">
                          <w:marLeft w:val="0"/>
                          <w:marRight w:val="0"/>
                          <w:marTop w:val="0"/>
                          <w:marBottom w:val="0"/>
                          <w:divBdr>
                            <w:top w:val="none" w:sz="0" w:space="0" w:color="auto"/>
                            <w:left w:val="none" w:sz="0" w:space="0" w:color="auto"/>
                            <w:bottom w:val="none" w:sz="0" w:space="0" w:color="auto"/>
                            <w:right w:val="none" w:sz="0" w:space="0" w:color="auto"/>
                          </w:divBdr>
                        </w:div>
                      </w:divsChild>
                    </w:div>
                    <w:div w:id="296033448">
                      <w:marLeft w:val="0"/>
                      <w:marRight w:val="0"/>
                      <w:marTop w:val="0"/>
                      <w:marBottom w:val="0"/>
                      <w:divBdr>
                        <w:top w:val="none" w:sz="0" w:space="0" w:color="auto"/>
                        <w:left w:val="none" w:sz="0" w:space="0" w:color="auto"/>
                        <w:bottom w:val="none" w:sz="0" w:space="0" w:color="auto"/>
                        <w:right w:val="none" w:sz="0" w:space="0" w:color="auto"/>
                      </w:divBdr>
                      <w:divsChild>
                        <w:div w:id="1056779101">
                          <w:marLeft w:val="0"/>
                          <w:marRight w:val="0"/>
                          <w:marTop w:val="0"/>
                          <w:marBottom w:val="0"/>
                          <w:divBdr>
                            <w:top w:val="none" w:sz="0" w:space="0" w:color="auto"/>
                            <w:left w:val="none" w:sz="0" w:space="0" w:color="auto"/>
                            <w:bottom w:val="none" w:sz="0" w:space="0" w:color="auto"/>
                            <w:right w:val="none" w:sz="0" w:space="0" w:color="auto"/>
                          </w:divBdr>
                        </w:div>
                      </w:divsChild>
                    </w:div>
                    <w:div w:id="1073040528">
                      <w:marLeft w:val="0"/>
                      <w:marRight w:val="0"/>
                      <w:marTop w:val="0"/>
                      <w:marBottom w:val="0"/>
                      <w:divBdr>
                        <w:top w:val="none" w:sz="0" w:space="0" w:color="auto"/>
                        <w:left w:val="none" w:sz="0" w:space="0" w:color="auto"/>
                        <w:bottom w:val="none" w:sz="0" w:space="0" w:color="auto"/>
                        <w:right w:val="none" w:sz="0" w:space="0" w:color="auto"/>
                      </w:divBdr>
                      <w:divsChild>
                        <w:div w:id="1788040506">
                          <w:marLeft w:val="0"/>
                          <w:marRight w:val="0"/>
                          <w:marTop w:val="0"/>
                          <w:marBottom w:val="0"/>
                          <w:divBdr>
                            <w:top w:val="none" w:sz="0" w:space="0" w:color="auto"/>
                            <w:left w:val="none" w:sz="0" w:space="0" w:color="auto"/>
                            <w:bottom w:val="none" w:sz="0" w:space="0" w:color="auto"/>
                            <w:right w:val="none" w:sz="0" w:space="0" w:color="auto"/>
                          </w:divBdr>
                        </w:div>
                      </w:divsChild>
                    </w:div>
                    <w:div w:id="371419655">
                      <w:marLeft w:val="0"/>
                      <w:marRight w:val="0"/>
                      <w:marTop w:val="0"/>
                      <w:marBottom w:val="0"/>
                      <w:divBdr>
                        <w:top w:val="none" w:sz="0" w:space="0" w:color="auto"/>
                        <w:left w:val="none" w:sz="0" w:space="0" w:color="auto"/>
                        <w:bottom w:val="none" w:sz="0" w:space="0" w:color="auto"/>
                        <w:right w:val="none" w:sz="0" w:space="0" w:color="auto"/>
                      </w:divBdr>
                      <w:divsChild>
                        <w:div w:id="1622029363">
                          <w:marLeft w:val="0"/>
                          <w:marRight w:val="0"/>
                          <w:marTop w:val="0"/>
                          <w:marBottom w:val="0"/>
                          <w:divBdr>
                            <w:top w:val="none" w:sz="0" w:space="0" w:color="auto"/>
                            <w:left w:val="none" w:sz="0" w:space="0" w:color="auto"/>
                            <w:bottom w:val="none" w:sz="0" w:space="0" w:color="auto"/>
                            <w:right w:val="none" w:sz="0" w:space="0" w:color="auto"/>
                          </w:divBdr>
                        </w:div>
                      </w:divsChild>
                    </w:div>
                    <w:div w:id="1807162365">
                      <w:marLeft w:val="0"/>
                      <w:marRight w:val="0"/>
                      <w:marTop w:val="0"/>
                      <w:marBottom w:val="0"/>
                      <w:divBdr>
                        <w:top w:val="none" w:sz="0" w:space="0" w:color="auto"/>
                        <w:left w:val="none" w:sz="0" w:space="0" w:color="auto"/>
                        <w:bottom w:val="none" w:sz="0" w:space="0" w:color="auto"/>
                        <w:right w:val="none" w:sz="0" w:space="0" w:color="auto"/>
                      </w:divBdr>
                      <w:divsChild>
                        <w:div w:id="82077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93429">
              <w:marLeft w:val="0"/>
              <w:marRight w:val="0"/>
              <w:marTop w:val="0"/>
              <w:marBottom w:val="0"/>
              <w:divBdr>
                <w:top w:val="none" w:sz="0" w:space="0" w:color="auto"/>
                <w:left w:val="none" w:sz="0" w:space="0" w:color="auto"/>
                <w:bottom w:val="none" w:sz="0" w:space="0" w:color="auto"/>
                <w:right w:val="none" w:sz="0" w:space="0" w:color="auto"/>
              </w:divBdr>
            </w:div>
          </w:divsChild>
        </w:div>
        <w:div w:id="814954141">
          <w:marLeft w:val="0"/>
          <w:marRight w:val="0"/>
          <w:marTop w:val="0"/>
          <w:marBottom w:val="0"/>
          <w:divBdr>
            <w:top w:val="none" w:sz="0" w:space="0" w:color="auto"/>
            <w:left w:val="none" w:sz="0" w:space="0" w:color="auto"/>
            <w:bottom w:val="none" w:sz="0" w:space="0" w:color="auto"/>
            <w:right w:val="none" w:sz="0" w:space="0" w:color="auto"/>
          </w:divBdr>
          <w:divsChild>
            <w:div w:id="856383379">
              <w:marLeft w:val="0"/>
              <w:marRight w:val="0"/>
              <w:marTop w:val="0"/>
              <w:marBottom w:val="0"/>
              <w:divBdr>
                <w:top w:val="none" w:sz="0" w:space="0" w:color="auto"/>
                <w:left w:val="none" w:sz="0" w:space="0" w:color="auto"/>
                <w:bottom w:val="none" w:sz="0" w:space="0" w:color="auto"/>
                <w:right w:val="none" w:sz="0" w:space="0" w:color="auto"/>
              </w:divBdr>
            </w:div>
          </w:divsChild>
        </w:div>
        <w:div w:id="1129251593">
          <w:marLeft w:val="0"/>
          <w:marRight w:val="0"/>
          <w:marTop w:val="0"/>
          <w:marBottom w:val="0"/>
          <w:divBdr>
            <w:top w:val="none" w:sz="0" w:space="0" w:color="auto"/>
            <w:left w:val="none" w:sz="0" w:space="0" w:color="auto"/>
            <w:bottom w:val="none" w:sz="0" w:space="0" w:color="auto"/>
            <w:right w:val="none" w:sz="0" w:space="0" w:color="auto"/>
          </w:divBdr>
          <w:divsChild>
            <w:div w:id="1205365229">
              <w:marLeft w:val="0"/>
              <w:marRight w:val="0"/>
              <w:marTop w:val="0"/>
              <w:marBottom w:val="0"/>
              <w:divBdr>
                <w:top w:val="none" w:sz="0" w:space="0" w:color="auto"/>
                <w:left w:val="none" w:sz="0" w:space="0" w:color="auto"/>
                <w:bottom w:val="none" w:sz="0" w:space="0" w:color="auto"/>
                <w:right w:val="none" w:sz="0" w:space="0" w:color="auto"/>
              </w:divBdr>
            </w:div>
          </w:divsChild>
        </w:div>
        <w:div w:id="1583099092">
          <w:marLeft w:val="0"/>
          <w:marRight w:val="0"/>
          <w:marTop w:val="0"/>
          <w:marBottom w:val="0"/>
          <w:divBdr>
            <w:top w:val="none" w:sz="0" w:space="0" w:color="auto"/>
            <w:left w:val="none" w:sz="0" w:space="0" w:color="auto"/>
            <w:bottom w:val="none" w:sz="0" w:space="0" w:color="auto"/>
            <w:right w:val="none" w:sz="0" w:space="0" w:color="auto"/>
          </w:divBdr>
          <w:divsChild>
            <w:div w:id="1931816619">
              <w:marLeft w:val="0"/>
              <w:marRight w:val="0"/>
              <w:marTop w:val="0"/>
              <w:marBottom w:val="0"/>
              <w:divBdr>
                <w:top w:val="none" w:sz="0" w:space="0" w:color="auto"/>
                <w:left w:val="none" w:sz="0" w:space="0" w:color="auto"/>
                <w:bottom w:val="none" w:sz="0" w:space="0" w:color="auto"/>
                <w:right w:val="none" w:sz="0" w:space="0" w:color="auto"/>
              </w:divBdr>
              <w:divsChild>
                <w:div w:id="1344431548">
                  <w:marLeft w:val="0"/>
                  <w:marRight w:val="0"/>
                  <w:marTop w:val="30"/>
                  <w:marBottom w:val="30"/>
                  <w:divBdr>
                    <w:top w:val="none" w:sz="0" w:space="0" w:color="auto"/>
                    <w:left w:val="none" w:sz="0" w:space="0" w:color="auto"/>
                    <w:bottom w:val="none" w:sz="0" w:space="0" w:color="auto"/>
                    <w:right w:val="none" w:sz="0" w:space="0" w:color="auto"/>
                  </w:divBdr>
                  <w:divsChild>
                    <w:div w:id="467481115">
                      <w:marLeft w:val="0"/>
                      <w:marRight w:val="0"/>
                      <w:marTop w:val="0"/>
                      <w:marBottom w:val="0"/>
                      <w:divBdr>
                        <w:top w:val="none" w:sz="0" w:space="0" w:color="auto"/>
                        <w:left w:val="none" w:sz="0" w:space="0" w:color="auto"/>
                        <w:bottom w:val="none" w:sz="0" w:space="0" w:color="auto"/>
                        <w:right w:val="none" w:sz="0" w:space="0" w:color="auto"/>
                      </w:divBdr>
                      <w:divsChild>
                        <w:div w:id="2147234647">
                          <w:marLeft w:val="0"/>
                          <w:marRight w:val="0"/>
                          <w:marTop w:val="0"/>
                          <w:marBottom w:val="0"/>
                          <w:divBdr>
                            <w:top w:val="none" w:sz="0" w:space="0" w:color="auto"/>
                            <w:left w:val="none" w:sz="0" w:space="0" w:color="auto"/>
                            <w:bottom w:val="none" w:sz="0" w:space="0" w:color="auto"/>
                            <w:right w:val="none" w:sz="0" w:space="0" w:color="auto"/>
                          </w:divBdr>
                        </w:div>
                      </w:divsChild>
                    </w:div>
                    <w:div w:id="1279215438">
                      <w:marLeft w:val="0"/>
                      <w:marRight w:val="0"/>
                      <w:marTop w:val="0"/>
                      <w:marBottom w:val="0"/>
                      <w:divBdr>
                        <w:top w:val="none" w:sz="0" w:space="0" w:color="auto"/>
                        <w:left w:val="none" w:sz="0" w:space="0" w:color="auto"/>
                        <w:bottom w:val="none" w:sz="0" w:space="0" w:color="auto"/>
                        <w:right w:val="none" w:sz="0" w:space="0" w:color="auto"/>
                      </w:divBdr>
                      <w:divsChild>
                        <w:div w:id="1152336109">
                          <w:marLeft w:val="0"/>
                          <w:marRight w:val="0"/>
                          <w:marTop w:val="0"/>
                          <w:marBottom w:val="0"/>
                          <w:divBdr>
                            <w:top w:val="none" w:sz="0" w:space="0" w:color="auto"/>
                            <w:left w:val="none" w:sz="0" w:space="0" w:color="auto"/>
                            <w:bottom w:val="none" w:sz="0" w:space="0" w:color="auto"/>
                            <w:right w:val="none" w:sz="0" w:space="0" w:color="auto"/>
                          </w:divBdr>
                        </w:div>
                      </w:divsChild>
                    </w:div>
                    <w:div w:id="36635743">
                      <w:marLeft w:val="0"/>
                      <w:marRight w:val="0"/>
                      <w:marTop w:val="0"/>
                      <w:marBottom w:val="0"/>
                      <w:divBdr>
                        <w:top w:val="none" w:sz="0" w:space="0" w:color="auto"/>
                        <w:left w:val="none" w:sz="0" w:space="0" w:color="auto"/>
                        <w:bottom w:val="none" w:sz="0" w:space="0" w:color="auto"/>
                        <w:right w:val="none" w:sz="0" w:space="0" w:color="auto"/>
                      </w:divBdr>
                      <w:divsChild>
                        <w:div w:id="724988079">
                          <w:marLeft w:val="0"/>
                          <w:marRight w:val="0"/>
                          <w:marTop w:val="0"/>
                          <w:marBottom w:val="0"/>
                          <w:divBdr>
                            <w:top w:val="none" w:sz="0" w:space="0" w:color="auto"/>
                            <w:left w:val="none" w:sz="0" w:space="0" w:color="auto"/>
                            <w:bottom w:val="none" w:sz="0" w:space="0" w:color="auto"/>
                            <w:right w:val="none" w:sz="0" w:space="0" w:color="auto"/>
                          </w:divBdr>
                        </w:div>
                      </w:divsChild>
                    </w:div>
                    <w:div w:id="968166146">
                      <w:marLeft w:val="0"/>
                      <w:marRight w:val="0"/>
                      <w:marTop w:val="0"/>
                      <w:marBottom w:val="0"/>
                      <w:divBdr>
                        <w:top w:val="none" w:sz="0" w:space="0" w:color="auto"/>
                        <w:left w:val="none" w:sz="0" w:space="0" w:color="auto"/>
                        <w:bottom w:val="none" w:sz="0" w:space="0" w:color="auto"/>
                        <w:right w:val="none" w:sz="0" w:space="0" w:color="auto"/>
                      </w:divBdr>
                      <w:divsChild>
                        <w:div w:id="932711743">
                          <w:marLeft w:val="0"/>
                          <w:marRight w:val="0"/>
                          <w:marTop w:val="0"/>
                          <w:marBottom w:val="0"/>
                          <w:divBdr>
                            <w:top w:val="none" w:sz="0" w:space="0" w:color="auto"/>
                            <w:left w:val="none" w:sz="0" w:space="0" w:color="auto"/>
                            <w:bottom w:val="none" w:sz="0" w:space="0" w:color="auto"/>
                            <w:right w:val="none" w:sz="0" w:space="0" w:color="auto"/>
                          </w:divBdr>
                        </w:div>
                      </w:divsChild>
                    </w:div>
                    <w:div w:id="560677685">
                      <w:marLeft w:val="0"/>
                      <w:marRight w:val="0"/>
                      <w:marTop w:val="0"/>
                      <w:marBottom w:val="0"/>
                      <w:divBdr>
                        <w:top w:val="none" w:sz="0" w:space="0" w:color="auto"/>
                        <w:left w:val="none" w:sz="0" w:space="0" w:color="auto"/>
                        <w:bottom w:val="none" w:sz="0" w:space="0" w:color="auto"/>
                        <w:right w:val="none" w:sz="0" w:space="0" w:color="auto"/>
                      </w:divBdr>
                      <w:divsChild>
                        <w:div w:id="1644189306">
                          <w:marLeft w:val="0"/>
                          <w:marRight w:val="0"/>
                          <w:marTop w:val="0"/>
                          <w:marBottom w:val="0"/>
                          <w:divBdr>
                            <w:top w:val="none" w:sz="0" w:space="0" w:color="auto"/>
                            <w:left w:val="none" w:sz="0" w:space="0" w:color="auto"/>
                            <w:bottom w:val="none" w:sz="0" w:space="0" w:color="auto"/>
                            <w:right w:val="none" w:sz="0" w:space="0" w:color="auto"/>
                          </w:divBdr>
                        </w:div>
                      </w:divsChild>
                    </w:div>
                    <w:div w:id="544877042">
                      <w:marLeft w:val="0"/>
                      <w:marRight w:val="0"/>
                      <w:marTop w:val="0"/>
                      <w:marBottom w:val="0"/>
                      <w:divBdr>
                        <w:top w:val="none" w:sz="0" w:space="0" w:color="auto"/>
                        <w:left w:val="none" w:sz="0" w:space="0" w:color="auto"/>
                        <w:bottom w:val="none" w:sz="0" w:space="0" w:color="auto"/>
                        <w:right w:val="none" w:sz="0" w:space="0" w:color="auto"/>
                      </w:divBdr>
                      <w:divsChild>
                        <w:div w:id="1735741773">
                          <w:marLeft w:val="0"/>
                          <w:marRight w:val="0"/>
                          <w:marTop w:val="0"/>
                          <w:marBottom w:val="0"/>
                          <w:divBdr>
                            <w:top w:val="none" w:sz="0" w:space="0" w:color="auto"/>
                            <w:left w:val="none" w:sz="0" w:space="0" w:color="auto"/>
                            <w:bottom w:val="none" w:sz="0" w:space="0" w:color="auto"/>
                            <w:right w:val="none" w:sz="0" w:space="0" w:color="auto"/>
                          </w:divBdr>
                        </w:div>
                      </w:divsChild>
                    </w:div>
                    <w:div w:id="301420978">
                      <w:marLeft w:val="0"/>
                      <w:marRight w:val="0"/>
                      <w:marTop w:val="0"/>
                      <w:marBottom w:val="0"/>
                      <w:divBdr>
                        <w:top w:val="none" w:sz="0" w:space="0" w:color="auto"/>
                        <w:left w:val="none" w:sz="0" w:space="0" w:color="auto"/>
                        <w:bottom w:val="none" w:sz="0" w:space="0" w:color="auto"/>
                        <w:right w:val="none" w:sz="0" w:space="0" w:color="auto"/>
                      </w:divBdr>
                      <w:divsChild>
                        <w:div w:id="1104618772">
                          <w:marLeft w:val="0"/>
                          <w:marRight w:val="0"/>
                          <w:marTop w:val="0"/>
                          <w:marBottom w:val="0"/>
                          <w:divBdr>
                            <w:top w:val="none" w:sz="0" w:space="0" w:color="auto"/>
                            <w:left w:val="none" w:sz="0" w:space="0" w:color="auto"/>
                            <w:bottom w:val="none" w:sz="0" w:space="0" w:color="auto"/>
                            <w:right w:val="none" w:sz="0" w:space="0" w:color="auto"/>
                          </w:divBdr>
                        </w:div>
                      </w:divsChild>
                    </w:div>
                    <w:div w:id="1758987364">
                      <w:marLeft w:val="0"/>
                      <w:marRight w:val="0"/>
                      <w:marTop w:val="0"/>
                      <w:marBottom w:val="0"/>
                      <w:divBdr>
                        <w:top w:val="none" w:sz="0" w:space="0" w:color="auto"/>
                        <w:left w:val="none" w:sz="0" w:space="0" w:color="auto"/>
                        <w:bottom w:val="none" w:sz="0" w:space="0" w:color="auto"/>
                        <w:right w:val="none" w:sz="0" w:space="0" w:color="auto"/>
                      </w:divBdr>
                      <w:divsChild>
                        <w:div w:id="1175728277">
                          <w:marLeft w:val="0"/>
                          <w:marRight w:val="0"/>
                          <w:marTop w:val="0"/>
                          <w:marBottom w:val="0"/>
                          <w:divBdr>
                            <w:top w:val="none" w:sz="0" w:space="0" w:color="auto"/>
                            <w:left w:val="none" w:sz="0" w:space="0" w:color="auto"/>
                            <w:bottom w:val="none" w:sz="0" w:space="0" w:color="auto"/>
                            <w:right w:val="none" w:sz="0" w:space="0" w:color="auto"/>
                          </w:divBdr>
                        </w:div>
                      </w:divsChild>
                    </w:div>
                    <w:div w:id="1334263333">
                      <w:marLeft w:val="0"/>
                      <w:marRight w:val="0"/>
                      <w:marTop w:val="0"/>
                      <w:marBottom w:val="0"/>
                      <w:divBdr>
                        <w:top w:val="none" w:sz="0" w:space="0" w:color="auto"/>
                        <w:left w:val="none" w:sz="0" w:space="0" w:color="auto"/>
                        <w:bottom w:val="none" w:sz="0" w:space="0" w:color="auto"/>
                        <w:right w:val="none" w:sz="0" w:space="0" w:color="auto"/>
                      </w:divBdr>
                      <w:divsChild>
                        <w:div w:id="247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764444">
              <w:marLeft w:val="0"/>
              <w:marRight w:val="0"/>
              <w:marTop w:val="0"/>
              <w:marBottom w:val="0"/>
              <w:divBdr>
                <w:top w:val="none" w:sz="0" w:space="0" w:color="auto"/>
                <w:left w:val="none" w:sz="0" w:space="0" w:color="auto"/>
                <w:bottom w:val="none" w:sz="0" w:space="0" w:color="auto"/>
                <w:right w:val="none" w:sz="0" w:space="0" w:color="auto"/>
              </w:divBdr>
            </w:div>
          </w:divsChild>
        </w:div>
        <w:div w:id="1278679143">
          <w:marLeft w:val="0"/>
          <w:marRight w:val="0"/>
          <w:marTop w:val="0"/>
          <w:marBottom w:val="0"/>
          <w:divBdr>
            <w:top w:val="none" w:sz="0" w:space="0" w:color="auto"/>
            <w:left w:val="none" w:sz="0" w:space="0" w:color="auto"/>
            <w:bottom w:val="none" w:sz="0" w:space="0" w:color="auto"/>
            <w:right w:val="none" w:sz="0" w:space="0" w:color="auto"/>
          </w:divBdr>
          <w:divsChild>
            <w:div w:id="1484933260">
              <w:marLeft w:val="0"/>
              <w:marRight w:val="0"/>
              <w:marTop w:val="0"/>
              <w:marBottom w:val="0"/>
              <w:divBdr>
                <w:top w:val="none" w:sz="0" w:space="0" w:color="auto"/>
                <w:left w:val="none" w:sz="0" w:space="0" w:color="auto"/>
                <w:bottom w:val="none" w:sz="0" w:space="0" w:color="auto"/>
                <w:right w:val="none" w:sz="0" w:space="0" w:color="auto"/>
              </w:divBdr>
            </w:div>
          </w:divsChild>
        </w:div>
        <w:div w:id="1295023851">
          <w:marLeft w:val="0"/>
          <w:marRight w:val="0"/>
          <w:marTop w:val="0"/>
          <w:marBottom w:val="0"/>
          <w:divBdr>
            <w:top w:val="none" w:sz="0" w:space="0" w:color="auto"/>
            <w:left w:val="none" w:sz="0" w:space="0" w:color="auto"/>
            <w:bottom w:val="none" w:sz="0" w:space="0" w:color="auto"/>
            <w:right w:val="none" w:sz="0" w:space="0" w:color="auto"/>
          </w:divBdr>
          <w:divsChild>
            <w:div w:id="1228802327">
              <w:marLeft w:val="0"/>
              <w:marRight w:val="0"/>
              <w:marTop w:val="0"/>
              <w:marBottom w:val="0"/>
              <w:divBdr>
                <w:top w:val="none" w:sz="0" w:space="0" w:color="auto"/>
                <w:left w:val="none" w:sz="0" w:space="0" w:color="auto"/>
                <w:bottom w:val="none" w:sz="0" w:space="0" w:color="auto"/>
                <w:right w:val="none" w:sz="0" w:space="0" w:color="auto"/>
              </w:divBdr>
            </w:div>
          </w:divsChild>
        </w:div>
        <w:div w:id="605307314">
          <w:marLeft w:val="0"/>
          <w:marRight w:val="0"/>
          <w:marTop w:val="0"/>
          <w:marBottom w:val="0"/>
          <w:divBdr>
            <w:top w:val="none" w:sz="0" w:space="0" w:color="auto"/>
            <w:left w:val="none" w:sz="0" w:space="0" w:color="auto"/>
            <w:bottom w:val="none" w:sz="0" w:space="0" w:color="auto"/>
            <w:right w:val="none" w:sz="0" w:space="0" w:color="auto"/>
          </w:divBdr>
          <w:divsChild>
            <w:div w:id="1441217804">
              <w:marLeft w:val="0"/>
              <w:marRight w:val="0"/>
              <w:marTop w:val="0"/>
              <w:marBottom w:val="0"/>
              <w:divBdr>
                <w:top w:val="none" w:sz="0" w:space="0" w:color="auto"/>
                <w:left w:val="none" w:sz="0" w:space="0" w:color="auto"/>
                <w:bottom w:val="none" w:sz="0" w:space="0" w:color="auto"/>
                <w:right w:val="none" w:sz="0" w:space="0" w:color="auto"/>
              </w:divBdr>
              <w:divsChild>
                <w:div w:id="245379254">
                  <w:marLeft w:val="0"/>
                  <w:marRight w:val="0"/>
                  <w:marTop w:val="30"/>
                  <w:marBottom w:val="30"/>
                  <w:divBdr>
                    <w:top w:val="none" w:sz="0" w:space="0" w:color="auto"/>
                    <w:left w:val="none" w:sz="0" w:space="0" w:color="auto"/>
                    <w:bottom w:val="none" w:sz="0" w:space="0" w:color="auto"/>
                    <w:right w:val="none" w:sz="0" w:space="0" w:color="auto"/>
                  </w:divBdr>
                  <w:divsChild>
                    <w:div w:id="972060765">
                      <w:marLeft w:val="0"/>
                      <w:marRight w:val="0"/>
                      <w:marTop w:val="0"/>
                      <w:marBottom w:val="0"/>
                      <w:divBdr>
                        <w:top w:val="none" w:sz="0" w:space="0" w:color="auto"/>
                        <w:left w:val="none" w:sz="0" w:space="0" w:color="auto"/>
                        <w:bottom w:val="none" w:sz="0" w:space="0" w:color="auto"/>
                        <w:right w:val="none" w:sz="0" w:space="0" w:color="auto"/>
                      </w:divBdr>
                      <w:divsChild>
                        <w:div w:id="544099301">
                          <w:marLeft w:val="0"/>
                          <w:marRight w:val="0"/>
                          <w:marTop w:val="0"/>
                          <w:marBottom w:val="0"/>
                          <w:divBdr>
                            <w:top w:val="none" w:sz="0" w:space="0" w:color="auto"/>
                            <w:left w:val="none" w:sz="0" w:space="0" w:color="auto"/>
                            <w:bottom w:val="none" w:sz="0" w:space="0" w:color="auto"/>
                            <w:right w:val="none" w:sz="0" w:space="0" w:color="auto"/>
                          </w:divBdr>
                        </w:div>
                      </w:divsChild>
                    </w:div>
                    <w:div w:id="646320873">
                      <w:marLeft w:val="0"/>
                      <w:marRight w:val="0"/>
                      <w:marTop w:val="0"/>
                      <w:marBottom w:val="0"/>
                      <w:divBdr>
                        <w:top w:val="none" w:sz="0" w:space="0" w:color="auto"/>
                        <w:left w:val="none" w:sz="0" w:space="0" w:color="auto"/>
                        <w:bottom w:val="none" w:sz="0" w:space="0" w:color="auto"/>
                        <w:right w:val="none" w:sz="0" w:space="0" w:color="auto"/>
                      </w:divBdr>
                      <w:divsChild>
                        <w:div w:id="798885979">
                          <w:marLeft w:val="0"/>
                          <w:marRight w:val="0"/>
                          <w:marTop w:val="0"/>
                          <w:marBottom w:val="0"/>
                          <w:divBdr>
                            <w:top w:val="none" w:sz="0" w:space="0" w:color="auto"/>
                            <w:left w:val="none" w:sz="0" w:space="0" w:color="auto"/>
                            <w:bottom w:val="none" w:sz="0" w:space="0" w:color="auto"/>
                            <w:right w:val="none" w:sz="0" w:space="0" w:color="auto"/>
                          </w:divBdr>
                        </w:div>
                      </w:divsChild>
                    </w:div>
                    <w:div w:id="922497235">
                      <w:marLeft w:val="0"/>
                      <w:marRight w:val="0"/>
                      <w:marTop w:val="0"/>
                      <w:marBottom w:val="0"/>
                      <w:divBdr>
                        <w:top w:val="none" w:sz="0" w:space="0" w:color="auto"/>
                        <w:left w:val="none" w:sz="0" w:space="0" w:color="auto"/>
                        <w:bottom w:val="none" w:sz="0" w:space="0" w:color="auto"/>
                        <w:right w:val="none" w:sz="0" w:space="0" w:color="auto"/>
                      </w:divBdr>
                      <w:divsChild>
                        <w:div w:id="1979259270">
                          <w:marLeft w:val="0"/>
                          <w:marRight w:val="0"/>
                          <w:marTop w:val="0"/>
                          <w:marBottom w:val="0"/>
                          <w:divBdr>
                            <w:top w:val="none" w:sz="0" w:space="0" w:color="auto"/>
                            <w:left w:val="none" w:sz="0" w:space="0" w:color="auto"/>
                            <w:bottom w:val="none" w:sz="0" w:space="0" w:color="auto"/>
                            <w:right w:val="none" w:sz="0" w:space="0" w:color="auto"/>
                          </w:divBdr>
                        </w:div>
                      </w:divsChild>
                    </w:div>
                    <w:div w:id="2063164361">
                      <w:marLeft w:val="0"/>
                      <w:marRight w:val="0"/>
                      <w:marTop w:val="0"/>
                      <w:marBottom w:val="0"/>
                      <w:divBdr>
                        <w:top w:val="none" w:sz="0" w:space="0" w:color="auto"/>
                        <w:left w:val="none" w:sz="0" w:space="0" w:color="auto"/>
                        <w:bottom w:val="none" w:sz="0" w:space="0" w:color="auto"/>
                        <w:right w:val="none" w:sz="0" w:space="0" w:color="auto"/>
                      </w:divBdr>
                      <w:divsChild>
                        <w:div w:id="725834701">
                          <w:marLeft w:val="0"/>
                          <w:marRight w:val="0"/>
                          <w:marTop w:val="0"/>
                          <w:marBottom w:val="0"/>
                          <w:divBdr>
                            <w:top w:val="none" w:sz="0" w:space="0" w:color="auto"/>
                            <w:left w:val="none" w:sz="0" w:space="0" w:color="auto"/>
                            <w:bottom w:val="none" w:sz="0" w:space="0" w:color="auto"/>
                            <w:right w:val="none" w:sz="0" w:space="0" w:color="auto"/>
                          </w:divBdr>
                        </w:div>
                      </w:divsChild>
                    </w:div>
                    <w:div w:id="265114945">
                      <w:marLeft w:val="0"/>
                      <w:marRight w:val="0"/>
                      <w:marTop w:val="0"/>
                      <w:marBottom w:val="0"/>
                      <w:divBdr>
                        <w:top w:val="none" w:sz="0" w:space="0" w:color="auto"/>
                        <w:left w:val="none" w:sz="0" w:space="0" w:color="auto"/>
                        <w:bottom w:val="none" w:sz="0" w:space="0" w:color="auto"/>
                        <w:right w:val="none" w:sz="0" w:space="0" w:color="auto"/>
                      </w:divBdr>
                      <w:divsChild>
                        <w:div w:id="1071658875">
                          <w:marLeft w:val="0"/>
                          <w:marRight w:val="0"/>
                          <w:marTop w:val="0"/>
                          <w:marBottom w:val="0"/>
                          <w:divBdr>
                            <w:top w:val="none" w:sz="0" w:space="0" w:color="auto"/>
                            <w:left w:val="none" w:sz="0" w:space="0" w:color="auto"/>
                            <w:bottom w:val="none" w:sz="0" w:space="0" w:color="auto"/>
                            <w:right w:val="none" w:sz="0" w:space="0" w:color="auto"/>
                          </w:divBdr>
                        </w:div>
                      </w:divsChild>
                    </w:div>
                    <w:div w:id="595678011">
                      <w:marLeft w:val="0"/>
                      <w:marRight w:val="0"/>
                      <w:marTop w:val="0"/>
                      <w:marBottom w:val="0"/>
                      <w:divBdr>
                        <w:top w:val="none" w:sz="0" w:space="0" w:color="auto"/>
                        <w:left w:val="none" w:sz="0" w:space="0" w:color="auto"/>
                        <w:bottom w:val="none" w:sz="0" w:space="0" w:color="auto"/>
                        <w:right w:val="none" w:sz="0" w:space="0" w:color="auto"/>
                      </w:divBdr>
                      <w:divsChild>
                        <w:div w:id="938685338">
                          <w:marLeft w:val="0"/>
                          <w:marRight w:val="0"/>
                          <w:marTop w:val="0"/>
                          <w:marBottom w:val="0"/>
                          <w:divBdr>
                            <w:top w:val="none" w:sz="0" w:space="0" w:color="auto"/>
                            <w:left w:val="none" w:sz="0" w:space="0" w:color="auto"/>
                            <w:bottom w:val="none" w:sz="0" w:space="0" w:color="auto"/>
                            <w:right w:val="none" w:sz="0" w:space="0" w:color="auto"/>
                          </w:divBdr>
                        </w:div>
                      </w:divsChild>
                    </w:div>
                    <w:div w:id="235870912">
                      <w:marLeft w:val="0"/>
                      <w:marRight w:val="0"/>
                      <w:marTop w:val="0"/>
                      <w:marBottom w:val="0"/>
                      <w:divBdr>
                        <w:top w:val="none" w:sz="0" w:space="0" w:color="auto"/>
                        <w:left w:val="none" w:sz="0" w:space="0" w:color="auto"/>
                        <w:bottom w:val="none" w:sz="0" w:space="0" w:color="auto"/>
                        <w:right w:val="none" w:sz="0" w:space="0" w:color="auto"/>
                      </w:divBdr>
                      <w:divsChild>
                        <w:div w:id="254363516">
                          <w:marLeft w:val="0"/>
                          <w:marRight w:val="0"/>
                          <w:marTop w:val="0"/>
                          <w:marBottom w:val="0"/>
                          <w:divBdr>
                            <w:top w:val="none" w:sz="0" w:space="0" w:color="auto"/>
                            <w:left w:val="none" w:sz="0" w:space="0" w:color="auto"/>
                            <w:bottom w:val="none" w:sz="0" w:space="0" w:color="auto"/>
                            <w:right w:val="none" w:sz="0" w:space="0" w:color="auto"/>
                          </w:divBdr>
                        </w:div>
                      </w:divsChild>
                    </w:div>
                    <w:div w:id="1359160924">
                      <w:marLeft w:val="0"/>
                      <w:marRight w:val="0"/>
                      <w:marTop w:val="0"/>
                      <w:marBottom w:val="0"/>
                      <w:divBdr>
                        <w:top w:val="none" w:sz="0" w:space="0" w:color="auto"/>
                        <w:left w:val="none" w:sz="0" w:space="0" w:color="auto"/>
                        <w:bottom w:val="none" w:sz="0" w:space="0" w:color="auto"/>
                        <w:right w:val="none" w:sz="0" w:space="0" w:color="auto"/>
                      </w:divBdr>
                      <w:divsChild>
                        <w:div w:id="1055003404">
                          <w:marLeft w:val="0"/>
                          <w:marRight w:val="0"/>
                          <w:marTop w:val="0"/>
                          <w:marBottom w:val="0"/>
                          <w:divBdr>
                            <w:top w:val="none" w:sz="0" w:space="0" w:color="auto"/>
                            <w:left w:val="none" w:sz="0" w:space="0" w:color="auto"/>
                            <w:bottom w:val="none" w:sz="0" w:space="0" w:color="auto"/>
                            <w:right w:val="none" w:sz="0" w:space="0" w:color="auto"/>
                          </w:divBdr>
                        </w:div>
                      </w:divsChild>
                    </w:div>
                    <w:div w:id="2110271083">
                      <w:marLeft w:val="0"/>
                      <w:marRight w:val="0"/>
                      <w:marTop w:val="0"/>
                      <w:marBottom w:val="0"/>
                      <w:divBdr>
                        <w:top w:val="none" w:sz="0" w:space="0" w:color="auto"/>
                        <w:left w:val="none" w:sz="0" w:space="0" w:color="auto"/>
                        <w:bottom w:val="none" w:sz="0" w:space="0" w:color="auto"/>
                        <w:right w:val="none" w:sz="0" w:space="0" w:color="auto"/>
                      </w:divBdr>
                      <w:divsChild>
                        <w:div w:id="46420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87532">
              <w:marLeft w:val="0"/>
              <w:marRight w:val="0"/>
              <w:marTop w:val="0"/>
              <w:marBottom w:val="0"/>
              <w:divBdr>
                <w:top w:val="none" w:sz="0" w:space="0" w:color="auto"/>
                <w:left w:val="none" w:sz="0" w:space="0" w:color="auto"/>
                <w:bottom w:val="none" w:sz="0" w:space="0" w:color="auto"/>
                <w:right w:val="none" w:sz="0" w:space="0" w:color="auto"/>
              </w:divBdr>
            </w:div>
          </w:divsChild>
        </w:div>
        <w:div w:id="736246694">
          <w:marLeft w:val="0"/>
          <w:marRight w:val="0"/>
          <w:marTop w:val="0"/>
          <w:marBottom w:val="0"/>
          <w:divBdr>
            <w:top w:val="none" w:sz="0" w:space="0" w:color="auto"/>
            <w:left w:val="none" w:sz="0" w:space="0" w:color="auto"/>
            <w:bottom w:val="none" w:sz="0" w:space="0" w:color="auto"/>
            <w:right w:val="none" w:sz="0" w:space="0" w:color="auto"/>
          </w:divBdr>
          <w:divsChild>
            <w:div w:id="1726639586">
              <w:marLeft w:val="0"/>
              <w:marRight w:val="0"/>
              <w:marTop w:val="0"/>
              <w:marBottom w:val="0"/>
              <w:divBdr>
                <w:top w:val="none" w:sz="0" w:space="0" w:color="auto"/>
                <w:left w:val="none" w:sz="0" w:space="0" w:color="auto"/>
                <w:bottom w:val="none" w:sz="0" w:space="0" w:color="auto"/>
                <w:right w:val="none" w:sz="0" w:space="0" w:color="auto"/>
              </w:divBdr>
            </w:div>
          </w:divsChild>
        </w:div>
        <w:div w:id="1690176183">
          <w:marLeft w:val="0"/>
          <w:marRight w:val="0"/>
          <w:marTop w:val="0"/>
          <w:marBottom w:val="0"/>
          <w:divBdr>
            <w:top w:val="none" w:sz="0" w:space="0" w:color="auto"/>
            <w:left w:val="none" w:sz="0" w:space="0" w:color="auto"/>
            <w:bottom w:val="none" w:sz="0" w:space="0" w:color="auto"/>
            <w:right w:val="none" w:sz="0" w:space="0" w:color="auto"/>
          </w:divBdr>
          <w:divsChild>
            <w:div w:id="1629698458">
              <w:marLeft w:val="0"/>
              <w:marRight w:val="0"/>
              <w:marTop w:val="0"/>
              <w:marBottom w:val="0"/>
              <w:divBdr>
                <w:top w:val="none" w:sz="0" w:space="0" w:color="auto"/>
                <w:left w:val="none" w:sz="0" w:space="0" w:color="auto"/>
                <w:bottom w:val="none" w:sz="0" w:space="0" w:color="auto"/>
                <w:right w:val="none" w:sz="0" w:space="0" w:color="auto"/>
              </w:divBdr>
            </w:div>
          </w:divsChild>
        </w:div>
        <w:div w:id="1364020776">
          <w:marLeft w:val="0"/>
          <w:marRight w:val="0"/>
          <w:marTop w:val="0"/>
          <w:marBottom w:val="0"/>
          <w:divBdr>
            <w:top w:val="none" w:sz="0" w:space="0" w:color="auto"/>
            <w:left w:val="none" w:sz="0" w:space="0" w:color="auto"/>
            <w:bottom w:val="none" w:sz="0" w:space="0" w:color="auto"/>
            <w:right w:val="none" w:sz="0" w:space="0" w:color="auto"/>
          </w:divBdr>
          <w:divsChild>
            <w:div w:id="73017463">
              <w:marLeft w:val="0"/>
              <w:marRight w:val="0"/>
              <w:marTop w:val="0"/>
              <w:marBottom w:val="0"/>
              <w:divBdr>
                <w:top w:val="none" w:sz="0" w:space="0" w:color="auto"/>
                <w:left w:val="none" w:sz="0" w:space="0" w:color="auto"/>
                <w:bottom w:val="none" w:sz="0" w:space="0" w:color="auto"/>
                <w:right w:val="none" w:sz="0" w:space="0" w:color="auto"/>
              </w:divBdr>
              <w:divsChild>
                <w:div w:id="1069573130">
                  <w:marLeft w:val="0"/>
                  <w:marRight w:val="0"/>
                  <w:marTop w:val="30"/>
                  <w:marBottom w:val="30"/>
                  <w:divBdr>
                    <w:top w:val="none" w:sz="0" w:space="0" w:color="auto"/>
                    <w:left w:val="none" w:sz="0" w:space="0" w:color="auto"/>
                    <w:bottom w:val="none" w:sz="0" w:space="0" w:color="auto"/>
                    <w:right w:val="none" w:sz="0" w:space="0" w:color="auto"/>
                  </w:divBdr>
                  <w:divsChild>
                    <w:div w:id="1558054409">
                      <w:marLeft w:val="0"/>
                      <w:marRight w:val="0"/>
                      <w:marTop w:val="0"/>
                      <w:marBottom w:val="0"/>
                      <w:divBdr>
                        <w:top w:val="none" w:sz="0" w:space="0" w:color="auto"/>
                        <w:left w:val="none" w:sz="0" w:space="0" w:color="auto"/>
                        <w:bottom w:val="none" w:sz="0" w:space="0" w:color="auto"/>
                        <w:right w:val="none" w:sz="0" w:space="0" w:color="auto"/>
                      </w:divBdr>
                      <w:divsChild>
                        <w:div w:id="545064332">
                          <w:marLeft w:val="0"/>
                          <w:marRight w:val="0"/>
                          <w:marTop w:val="0"/>
                          <w:marBottom w:val="0"/>
                          <w:divBdr>
                            <w:top w:val="none" w:sz="0" w:space="0" w:color="auto"/>
                            <w:left w:val="none" w:sz="0" w:space="0" w:color="auto"/>
                            <w:bottom w:val="none" w:sz="0" w:space="0" w:color="auto"/>
                            <w:right w:val="none" w:sz="0" w:space="0" w:color="auto"/>
                          </w:divBdr>
                        </w:div>
                      </w:divsChild>
                    </w:div>
                    <w:div w:id="871771727">
                      <w:marLeft w:val="0"/>
                      <w:marRight w:val="0"/>
                      <w:marTop w:val="0"/>
                      <w:marBottom w:val="0"/>
                      <w:divBdr>
                        <w:top w:val="none" w:sz="0" w:space="0" w:color="auto"/>
                        <w:left w:val="none" w:sz="0" w:space="0" w:color="auto"/>
                        <w:bottom w:val="none" w:sz="0" w:space="0" w:color="auto"/>
                        <w:right w:val="none" w:sz="0" w:space="0" w:color="auto"/>
                      </w:divBdr>
                      <w:divsChild>
                        <w:div w:id="187914007">
                          <w:marLeft w:val="0"/>
                          <w:marRight w:val="0"/>
                          <w:marTop w:val="0"/>
                          <w:marBottom w:val="0"/>
                          <w:divBdr>
                            <w:top w:val="none" w:sz="0" w:space="0" w:color="auto"/>
                            <w:left w:val="none" w:sz="0" w:space="0" w:color="auto"/>
                            <w:bottom w:val="none" w:sz="0" w:space="0" w:color="auto"/>
                            <w:right w:val="none" w:sz="0" w:space="0" w:color="auto"/>
                          </w:divBdr>
                        </w:div>
                      </w:divsChild>
                    </w:div>
                    <w:div w:id="1437753398">
                      <w:marLeft w:val="0"/>
                      <w:marRight w:val="0"/>
                      <w:marTop w:val="0"/>
                      <w:marBottom w:val="0"/>
                      <w:divBdr>
                        <w:top w:val="none" w:sz="0" w:space="0" w:color="auto"/>
                        <w:left w:val="none" w:sz="0" w:space="0" w:color="auto"/>
                        <w:bottom w:val="none" w:sz="0" w:space="0" w:color="auto"/>
                        <w:right w:val="none" w:sz="0" w:space="0" w:color="auto"/>
                      </w:divBdr>
                      <w:divsChild>
                        <w:div w:id="270549826">
                          <w:marLeft w:val="0"/>
                          <w:marRight w:val="0"/>
                          <w:marTop w:val="0"/>
                          <w:marBottom w:val="0"/>
                          <w:divBdr>
                            <w:top w:val="none" w:sz="0" w:space="0" w:color="auto"/>
                            <w:left w:val="none" w:sz="0" w:space="0" w:color="auto"/>
                            <w:bottom w:val="none" w:sz="0" w:space="0" w:color="auto"/>
                            <w:right w:val="none" w:sz="0" w:space="0" w:color="auto"/>
                          </w:divBdr>
                        </w:div>
                      </w:divsChild>
                    </w:div>
                    <w:div w:id="1444762506">
                      <w:marLeft w:val="0"/>
                      <w:marRight w:val="0"/>
                      <w:marTop w:val="0"/>
                      <w:marBottom w:val="0"/>
                      <w:divBdr>
                        <w:top w:val="none" w:sz="0" w:space="0" w:color="auto"/>
                        <w:left w:val="none" w:sz="0" w:space="0" w:color="auto"/>
                        <w:bottom w:val="none" w:sz="0" w:space="0" w:color="auto"/>
                        <w:right w:val="none" w:sz="0" w:space="0" w:color="auto"/>
                      </w:divBdr>
                      <w:divsChild>
                        <w:div w:id="764039109">
                          <w:marLeft w:val="0"/>
                          <w:marRight w:val="0"/>
                          <w:marTop w:val="0"/>
                          <w:marBottom w:val="0"/>
                          <w:divBdr>
                            <w:top w:val="none" w:sz="0" w:space="0" w:color="auto"/>
                            <w:left w:val="none" w:sz="0" w:space="0" w:color="auto"/>
                            <w:bottom w:val="none" w:sz="0" w:space="0" w:color="auto"/>
                            <w:right w:val="none" w:sz="0" w:space="0" w:color="auto"/>
                          </w:divBdr>
                        </w:div>
                      </w:divsChild>
                    </w:div>
                    <w:div w:id="1049651632">
                      <w:marLeft w:val="0"/>
                      <w:marRight w:val="0"/>
                      <w:marTop w:val="0"/>
                      <w:marBottom w:val="0"/>
                      <w:divBdr>
                        <w:top w:val="none" w:sz="0" w:space="0" w:color="auto"/>
                        <w:left w:val="none" w:sz="0" w:space="0" w:color="auto"/>
                        <w:bottom w:val="none" w:sz="0" w:space="0" w:color="auto"/>
                        <w:right w:val="none" w:sz="0" w:space="0" w:color="auto"/>
                      </w:divBdr>
                      <w:divsChild>
                        <w:div w:id="88089220">
                          <w:marLeft w:val="0"/>
                          <w:marRight w:val="0"/>
                          <w:marTop w:val="0"/>
                          <w:marBottom w:val="0"/>
                          <w:divBdr>
                            <w:top w:val="none" w:sz="0" w:space="0" w:color="auto"/>
                            <w:left w:val="none" w:sz="0" w:space="0" w:color="auto"/>
                            <w:bottom w:val="none" w:sz="0" w:space="0" w:color="auto"/>
                            <w:right w:val="none" w:sz="0" w:space="0" w:color="auto"/>
                          </w:divBdr>
                        </w:div>
                      </w:divsChild>
                    </w:div>
                    <w:div w:id="680812121">
                      <w:marLeft w:val="0"/>
                      <w:marRight w:val="0"/>
                      <w:marTop w:val="0"/>
                      <w:marBottom w:val="0"/>
                      <w:divBdr>
                        <w:top w:val="none" w:sz="0" w:space="0" w:color="auto"/>
                        <w:left w:val="none" w:sz="0" w:space="0" w:color="auto"/>
                        <w:bottom w:val="none" w:sz="0" w:space="0" w:color="auto"/>
                        <w:right w:val="none" w:sz="0" w:space="0" w:color="auto"/>
                      </w:divBdr>
                      <w:divsChild>
                        <w:div w:id="833689829">
                          <w:marLeft w:val="0"/>
                          <w:marRight w:val="0"/>
                          <w:marTop w:val="0"/>
                          <w:marBottom w:val="0"/>
                          <w:divBdr>
                            <w:top w:val="none" w:sz="0" w:space="0" w:color="auto"/>
                            <w:left w:val="none" w:sz="0" w:space="0" w:color="auto"/>
                            <w:bottom w:val="none" w:sz="0" w:space="0" w:color="auto"/>
                            <w:right w:val="none" w:sz="0" w:space="0" w:color="auto"/>
                          </w:divBdr>
                        </w:div>
                      </w:divsChild>
                    </w:div>
                    <w:div w:id="1418360643">
                      <w:marLeft w:val="0"/>
                      <w:marRight w:val="0"/>
                      <w:marTop w:val="0"/>
                      <w:marBottom w:val="0"/>
                      <w:divBdr>
                        <w:top w:val="none" w:sz="0" w:space="0" w:color="auto"/>
                        <w:left w:val="none" w:sz="0" w:space="0" w:color="auto"/>
                        <w:bottom w:val="none" w:sz="0" w:space="0" w:color="auto"/>
                        <w:right w:val="none" w:sz="0" w:space="0" w:color="auto"/>
                      </w:divBdr>
                      <w:divsChild>
                        <w:div w:id="729688486">
                          <w:marLeft w:val="0"/>
                          <w:marRight w:val="0"/>
                          <w:marTop w:val="0"/>
                          <w:marBottom w:val="0"/>
                          <w:divBdr>
                            <w:top w:val="none" w:sz="0" w:space="0" w:color="auto"/>
                            <w:left w:val="none" w:sz="0" w:space="0" w:color="auto"/>
                            <w:bottom w:val="none" w:sz="0" w:space="0" w:color="auto"/>
                            <w:right w:val="none" w:sz="0" w:space="0" w:color="auto"/>
                          </w:divBdr>
                        </w:div>
                      </w:divsChild>
                    </w:div>
                    <w:div w:id="483938475">
                      <w:marLeft w:val="0"/>
                      <w:marRight w:val="0"/>
                      <w:marTop w:val="0"/>
                      <w:marBottom w:val="0"/>
                      <w:divBdr>
                        <w:top w:val="none" w:sz="0" w:space="0" w:color="auto"/>
                        <w:left w:val="none" w:sz="0" w:space="0" w:color="auto"/>
                        <w:bottom w:val="none" w:sz="0" w:space="0" w:color="auto"/>
                        <w:right w:val="none" w:sz="0" w:space="0" w:color="auto"/>
                      </w:divBdr>
                      <w:divsChild>
                        <w:div w:id="2087192294">
                          <w:marLeft w:val="0"/>
                          <w:marRight w:val="0"/>
                          <w:marTop w:val="0"/>
                          <w:marBottom w:val="0"/>
                          <w:divBdr>
                            <w:top w:val="none" w:sz="0" w:space="0" w:color="auto"/>
                            <w:left w:val="none" w:sz="0" w:space="0" w:color="auto"/>
                            <w:bottom w:val="none" w:sz="0" w:space="0" w:color="auto"/>
                            <w:right w:val="none" w:sz="0" w:space="0" w:color="auto"/>
                          </w:divBdr>
                        </w:div>
                      </w:divsChild>
                    </w:div>
                    <w:div w:id="1911036982">
                      <w:marLeft w:val="0"/>
                      <w:marRight w:val="0"/>
                      <w:marTop w:val="0"/>
                      <w:marBottom w:val="0"/>
                      <w:divBdr>
                        <w:top w:val="none" w:sz="0" w:space="0" w:color="auto"/>
                        <w:left w:val="none" w:sz="0" w:space="0" w:color="auto"/>
                        <w:bottom w:val="none" w:sz="0" w:space="0" w:color="auto"/>
                        <w:right w:val="none" w:sz="0" w:space="0" w:color="auto"/>
                      </w:divBdr>
                      <w:divsChild>
                        <w:div w:id="13632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68764">
              <w:marLeft w:val="0"/>
              <w:marRight w:val="0"/>
              <w:marTop w:val="0"/>
              <w:marBottom w:val="0"/>
              <w:divBdr>
                <w:top w:val="none" w:sz="0" w:space="0" w:color="auto"/>
                <w:left w:val="none" w:sz="0" w:space="0" w:color="auto"/>
                <w:bottom w:val="none" w:sz="0" w:space="0" w:color="auto"/>
                <w:right w:val="none" w:sz="0" w:space="0" w:color="auto"/>
              </w:divBdr>
            </w:div>
          </w:divsChild>
        </w:div>
        <w:div w:id="229466416">
          <w:marLeft w:val="0"/>
          <w:marRight w:val="0"/>
          <w:marTop w:val="0"/>
          <w:marBottom w:val="0"/>
          <w:divBdr>
            <w:top w:val="none" w:sz="0" w:space="0" w:color="auto"/>
            <w:left w:val="none" w:sz="0" w:space="0" w:color="auto"/>
            <w:bottom w:val="none" w:sz="0" w:space="0" w:color="auto"/>
            <w:right w:val="none" w:sz="0" w:space="0" w:color="auto"/>
          </w:divBdr>
          <w:divsChild>
            <w:div w:id="1673217286">
              <w:marLeft w:val="0"/>
              <w:marRight w:val="0"/>
              <w:marTop w:val="0"/>
              <w:marBottom w:val="0"/>
              <w:divBdr>
                <w:top w:val="none" w:sz="0" w:space="0" w:color="auto"/>
                <w:left w:val="none" w:sz="0" w:space="0" w:color="auto"/>
                <w:bottom w:val="none" w:sz="0" w:space="0" w:color="auto"/>
                <w:right w:val="none" w:sz="0" w:space="0" w:color="auto"/>
              </w:divBdr>
            </w:div>
          </w:divsChild>
        </w:div>
        <w:div w:id="1072847942">
          <w:marLeft w:val="0"/>
          <w:marRight w:val="0"/>
          <w:marTop w:val="0"/>
          <w:marBottom w:val="0"/>
          <w:divBdr>
            <w:top w:val="none" w:sz="0" w:space="0" w:color="auto"/>
            <w:left w:val="none" w:sz="0" w:space="0" w:color="auto"/>
            <w:bottom w:val="none" w:sz="0" w:space="0" w:color="auto"/>
            <w:right w:val="none" w:sz="0" w:space="0" w:color="auto"/>
          </w:divBdr>
          <w:divsChild>
            <w:div w:id="188572394">
              <w:marLeft w:val="0"/>
              <w:marRight w:val="0"/>
              <w:marTop w:val="0"/>
              <w:marBottom w:val="0"/>
              <w:divBdr>
                <w:top w:val="none" w:sz="0" w:space="0" w:color="auto"/>
                <w:left w:val="none" w:sz="0" w:space="0" w:color="auto"/>
                <w:bottom w:val="none" w:sz="0" w:space="0" w:color="auto"/>
                <w:right w:val="none" w:sz="0" w:space="0" w:color="auto"/>
              </w:divBdr>
            </w:div>
          </w:divsChild>
        </w:div>
        <w:div w:id="744451575">
          <w:marLeft w:val="0"/>
          <w:marRight w:val="0"/>
          <w:marTop w:val="0"/>
          <w:marBottom w:val="0"/>
          <w:divBdr>
            <w:top w:val="none" w:sz="0" w:space="0" w:color="auto"/>
            <w:left w:val="none" w:sz="0" w:space="0" w:color="auto"/>
            <w:bottom w:val="none" w:sz="0" w:space="0" w:color="auto"/>
            <w:right w:val="none" w:sz="0" w:space="0" w:color="auto"/>
          </w:divBdr>
          <w:divsChild>
            <w:div w:id="1355964122">
              <w:marLeft w:val="0"/>
              <w:marRight w:val="0"/>
              <w:marTop w:val="0"/>
              <w:marBottom w:val="0"/>
              <w:divBdr>
                <w:top w:val="none" w:sz="0" w:space="0" w:color="auto"/>
                <w:left w:val="none" w:sz="0" w:space="0" w:color="auto"/>
                <w:bottom w:val="none" w:sz="0" w:space="0" w:color="auto"/>
                <w:right w:val="none" w:sz="0" w:space="0" w:color="auto"/>
              </w:divBdr>
              <w:divsChild>
                <w:div w:id="1561207285">
                  <w:marLeft w:val="0"/>
                  <w:marRight w:val="0"/>
                  <w:marTop w:val="30"/>
                  <w:marBottom w:val="30"/>
                  <w:divBdr>
                    <w:top w:val="none" w:sz="0" w:space="0" w:color="auto"/>
                    <w:left w:val="none" w:sz="0" w:space="0" w:color="auto"/>
                    <w:bottom w:val="none" w:sz="0" w:space="0" w:color="auto"/>
                    <w:right w:val="none" w:sz="0" w:space="0" w:color="auto"/>
                  </w:divBdr>
                  <w:divsChild>
                    <w:div w:id="1457138621">
                      <w:marLeft w:val="0"/>
                      <w:marRight w:val="0"/>
                      <w:marTop w:val="0"/>
                      <w:marBottom w:val="0"/>
                      <w:divBdr>
                        <w:top w:val="none" w:sz="0" w:space="0" w:color="auto"/>
                        <w:left w:val="none" w:sz="0" w:space="0" w:color="auto"/>
                        <w:bottom w:val="none" w:sz="0" w:space="0" w:color="auto"/>
                        <w:right w:val="none" w:sz="0" w:space="0" w:color="auto"/>
                      </w:divBdr>
                      <w:divsChild>
                        <w:div w:id="388529159">
                          <w:marLeft w:val="0"/>
                          <w:marRight w:val="0"/>
                          <w:marTop w:val="0"/>
                          <w:marBottom w:val="0"/>
                          <w:divBdr>
                            <w:top w:val="none" w:sz="0" w:space="0" w:color="auto"/>
                            <w:left w:val="none" w:sz="0" w:space="0" w:color="auto"/>
                            <w:bottom w:val="none" w:sz="0" w:space="0" w:color="auto"/>
                            <w:right w:val="none" w:sz="0" w:space="0" w:color="auto"/>
                          </w:divBdr>
                        </w:div>
                      </w:divsChild>
                    </w:div>
                    <w:div w:id="225606819">
                      <w:marLeft w:val="0"/>
                      <w:marRight w:val="0"/>
                      <w:marTop w:val="0"/>
                      <w:marBottom w:val="0"/>
                      <w:divBdr>
                        <w:top w:val="none" w:sz="0" w:space="0" w:color="auto"/>
                        <w:left w:val="none" w:sz="0" w:space="0" w:color="auto"/>
                        <w:bottom w:val="none" w:sz="0" w:space="0" w:color="auto"/>
                        <w:right w:val="none" w:sz="0" w:space="0" w:color="auto"/>
                      </w:divBdr>
                      <w:divsChild>
                        <w:div w:id="1959989873">
                          <w:marLeft w:val="0"/>
                          <w:marRight w:val="0"/>
                          <w:marTop w:val="0"/>
                          <w:marBottom w:val="0"/>
                          <w:divBdr>
                            <w:top w:val="none" w:sz="0" w:space="0" w:color="auto"/>
                            <w:left w:val="none" w:sz="0" w:space="0" w:color="auto"/>
                            <w:bottom w:val="none" w:sz="0" w:space="0" w:color="auto"/>
                            <w:right w:val="none" w:sz="0" w:space="0" w:color="auto"/>
                          </w:divBdr>
                        </w:div>
                      </w:divsChild>
                    </w:div>
                    <w:div w:id="1471442571">
                      <w:marLeft w:val="0"/>
                      <w:marRight w:val="0"/>
                      <w:marTop w:val="0"/>
                      <w:marBottom w:val="0"/>
                      <w:divBdr>
                        <w:top w:val="none" w:sz="0" w:space="0" w:color="auto"/>
                        <w:left w:val="none" w:sz="0" w:space="0" w:color="auto"/>
                        <w:bottom w:val="none" w:sz="0" w:space="0" w:color="auto"/>
                        <w:right w:val="none" w:sz="0" w:space="0" w:color="auto"/>
                      </w:divBdr>
                      <w:divsChild>
                        <w:div w:id="723719795">
                          <w:marLeft w:val="0"/>
                          <w:marRight w:val="0"/>
                          <w:marTop w:val="0"/>
                          <w:marBottom w:val="0"/>
                          <w:divBdr>
                            <w:top w:val="none" w:sz="0" w:space="0" w:color="auto"/>
                            <w:left w:val="none" w:sz="0" w:space="0" w:color="auto"/>
                            <w:bottom w:val="none" w:sz="0" w:space="0" w:color="auto"/>
                            <w:right w:val="none" w:sz="0" w:space="0" w:color="auto"/>
                          </w:divBdr>
                        </w:div>
                      </w:divsChild>
                    </w:div>
                    <w:div w:id="1963462192">
                      <w:marLeft w:val="0"/>
                      <w:marRight w:val="0"/>
                      <w:marTop w:val="0"/>
                      <w:marBottom w:val="0"/>
                      <w:divBdr>
                        <w:top w:val="none" w:sz="0" w:space="0" w:color="auto"/>
                        <w:left w:val="none" w:sz="0" w:space="0" w:color="auto"/>
                        <w:bottom w:val="none" w:sz="0" w:space="0" w:color="auto"/>
                        <w:right w:val="none" w:sz="0" w:space="0" w:color="auto"/>
                      </w:divBdr>
                      <w:divsChild>
                        <w:div w:id="1746299227">
                          <w:marLeft w:val="0"/>
                          <w:marRight w:val="0"/>
                          <w:marTop w:val="0"/>
                          <w:marBottom w:val="0"/>
                          <w:divBdr>
                            <w:top w:val="none" w:sz="0" w:space="0" w:color="auto"/>
                            <w:left w:val="none" w:sz="0" w:space="0" w:color="auto"/>
                            <w:bottom w:val="none" w:sz="0" w:space="0" w:color="auto"/>
                            <w:right w:val="none" w:sz="0" w:space="0" w:color="auto"/>
                          </w:divBdr>
                        </w:div>
                      </w:divsChild>
                    </w:div>
                    <w:div w:id="1851990227">
                      <w:marLeft w:val="0"/>
                      <w:marRight w:val="0"/>
                      <w:marTop w:val="0"/>
                      <w:marBottom w:val="0"/>
                      <w:divBdr>
                        <w:top w:val="none" w:sz="0" w:space="0" w:color="auto"/>
                        <w:left w:val="none" w:sz="0" w:space="0" w:color="auto"/>
                        <w:bottom w:val="none" w:sz="0" w:space="0" w:color="auto"/>
                        <w:right w:val="none" w:sz="0" w:space="0" w:color="auto"/>
                      </w:divBdr>
                      <w:divsChild>
                        <w:div w:id="1669403215">
                          <w:marLeft w:val="0"/>
                          <w:marRight w:val="0"/>
                          <w:marTop w:val="0"/>
                          <w:marBottom w:val="0"/>
                          <w:divBdr>
                            <w:top w:val="none" w:sz="0" w:space="0" w:color="auto"/>
                            <w:left w:val="none" w:sz="0" w:space="0" w:color="auto"/>
                            <w:bottom w:val="none" w:sz="0" w:space="0" w:color="auto"/>
                            <w:right w:val="none" w:sz="0" w:space="0" w:color="auto"/>
                          </w:divBdr>
                        </w:div>
                      </w:divsChild>
                    </w:div>
                    <w:div w:id="1695687169">
                      <w:marLeft w:val="0"/>
                      <w:marRight w:val="0"/>
                      <w:marTop w:val="0"/>
                      <w:marBottom w:val="0"/>
                      <w:divBdr>
                        <w:top w:val="none" w:sz="0" w:space="0" w:color="auto"/>
                        <w:left w:val="none" w:sz="0" w:space="0" w:color="auto"/>
                        <w:bottom w:val="none" w:sz="0" w:space="0" w:color="auto"/>
                        <w:right w:val="none" w:sz="0" w:space="0" w:color="auto"/>
                      </w:divBdr>
                      <w:divsChild>
                        <w:div w:id="1596285594">
                          <w:marLeft w:val="0"/>
                          <w:marRight w:val="0"/>
                          <w:marTop w:val="0"/>
                          <w:marBottom w:val="0"/>
                          <w:divBdr>
                            <w:top w:val="none" w:sz="0" w:space="0" w:color="auto"/>
                            <w:left w:val="none" w:sz="0" w:space="0" w:color="auto"/>
                            <w:bottom w:val="none" w:sz="0" w:space="0" w:color="auto"/>
                            <w:right w:val="none" w:sz="0" w:space="0" w:color="auto"/>
                          </w:divBdr>
                        </w:div>
                      </w:divsChild>
                    </w:div>
                    <w:div w:id="1852403622">
                      <w:marLeft w:val="0"/>
                      <w:marRight w:val="0"/>
                      <w:marTop w:val="0"/>
                      <w:marBottom w:val="0"/>
                      <w:divBdr>
                        <w:top w:val="none" w:sz="0" w:space="0" w:color="auto"/>
                        <w:left w:val="none" w:sz="0" w:space="0" w:color="auto"/>
                        <w:bottom w:val="none" w:sz="0" w:space="0" w:color="auto"/>
                        <w:right w:val="none" w:sz="0" w:space="0" w:color="auto"/>
                      </w:divBdr>
                      <w:divsChild>
                        <w:div w:id="486440792">
                          <w:marLeft w:val="0"/>
                          <w:marRight w:val="0"/>
                          <w:marTop w:val="0"/>
                          <w:marBottom w:val="0"/>
                          <w:divBdr>
                            <w:top w:val="none" w:sz="0" w:space="0" w:color="auto"/>
                            <w:left w:val="none" w:sz="0" w:space="0" w:color="auto"/>
                            <w:bottom w:val="none" w:sz="0" w:space="0" w:color="auto"/>
                            <w:right w:val="none" w:sz="0" w:space="0" w:color="auto"/>
                          </w:divBdr>
                        </w:div>
                      </w:divsChild>
                    </w:div>
                    <w:div w:id="1982810978">
                      <w:marLeft w:val="0"/>
                      <w:marRight w:val="0"/>
                      <w:marTop w:val="0"/>
                      <w:marBottom w:val="0"/>
                      <w:divBdr>
                        <w:top w:val="none" w:sz="0" w:space="0" w:color="auto"/>
                        <w:left w:val="none" w:sz="0" w:space="0" w:color="auto"/>
                        <w:bottom w:val="none" w:sz="0" w:space="0" w:color="auto"/>
                        <w:right w:val="none" w:sz="0" w:space="0" w:color="auto"/>
                      </w:divBdr>
                      <w:divsChild>
                        <w:div w:id="1773738492">
                          <w:marLeft w:val="0"/>
                          <w:marRight w:val="0"/>
                          <w:marTop w:val="0"/>
                          <w:marBottom w:val="0"/>
                          <w:divBdr>
                            <w:top w:val="none" w:sz="0" w:space="0" w:color="auto"/>
                            <w:left w:val="none" w:sz="0" w:space="0" w:color="auto"/>
                            <w:bottom w:val="none" w:sz="0" w:space="0" w:color="auto"/>
                            <w:right w:val="none" w:sz="0" w:space="0" w:color="auto"/>
                          </w:divBdr>
                        </w:div>
                      </w:divsChild>
                    </w:div>
                    <w:div w:id="1760176538">
                      <w:marLeft w:val="0"/>
                      <w:marRight w:val="0"/>
                      <w:marTop w:val="0"/>
                      <w:marBottom w:val="0"/>
                      <w:divBdr>
                        <w:top w:val="none" w:sz="0" w:space="0" w:color="auto"/>
                        <w:left w:val="none" w:sz="0" w:space="0" w:color="auto"/>
                        <w:bottom w:val="none" w:sz="0" w:space="0" w:color="auto"/>
                        <w:right w:val="none" w:sz="0" w:space="0" w:color="auto"/>
                      </w:divBdr>
                      <w:divsChild>
                        <w:div w:id="2732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01194">
              <w:marLeft w:val="0"/>
              <w:marRight w:val="0"/>
              <w:marTop w:val="0"/>
              <w:marBottom w:val="0"/>
              <w:divBdr>
                <w:top w:val="none" w:sz="0" w:space="0" w:color="auto"/>
                <w:left w:val="none" w:sz="0" w:space="0" w:color="auto"/>
                <w:bottom w:val="none" w:sz="0" w:space="0" w:color="auto"/>
                <w:right w:val="none" w:sz="0" w:space="0" w:color="auto"/>
              </w:divBdr>
            </w:div>
          </w:divsChild>
        </w:div>
        <w:div w:id="2106415851">
          <w:marLeft w:val="0"/>
          <w:marRight w:val="0"/>
          <w:marTop w:val="0"/>
          <w:marBottom w:val="0"/>
          <w:divBdr>
            <w:top w:val="none" w:sz="0" w:space="0" w:color="auto"/>
            <w:left w:val="none" w:sz="0" w:space="0" w:color="auto"/>
            <w:bottom w:val="none" w:sz="0" w:space="0" w:color="auto"/>
            <w:right w:val="none" w:sz="0" w:space="0" w:color="auto"/>
          </w:divBdr>
          <w:divsChild>
            <w:div w:id="13496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621">
      <w:bodyDiv w:val="1"/>
      <w:marLeft w:val="0"/>
      <w:marRight w:val="0"/>
      <w:marTop w:val="0"/>
      <w:marBottom w:val="0"/>
      <w:divBdr>
        <w:top w:val="none" w:sz="0" w:space="0" w:color="auto"/>
        <w:left w:val="none" w:sz="0" w:space="0" w:color="auto"/>
        <w:bottom w:val="none" w:sz="0" w:space="0" w:color="auto"/>
        <w:right w:val="none" w:sz="0" w:space="0" w:color="auto"/>
      </w:divBdr>
    </w:div>
    <w:div w:id="1366641669">
      <w:bodyDiv w:val="1"/>
      <w:marLeft w:val="0"/>
      <w:marRight w:val="0"/>
      <w:marTop w:val="0"/>
      <w:marBottom w:val="0"/>
      <w:divBdr>
        <w:top w:val="none" w:sz="0" w:space="0" w:color="auto"/>
        <w:left w:val="none" w:sz="0" w:space="0" w:color="auto"/>
        <w:bottom w:val="none" w:sz="0" w:space="0" w:color="auto"/>
        <w:right w:val="none" w:sz="0" w:space="0" w:color="auto"/>
      </w:divBdr>
    </w:div>
    <w:div w:id="1537346901">
      <w:bodyDiv w:val="1"/>
      <w:marLeft w:val="0"/>
      <w:marRight w:val="0"/>
      <w:marTop w:val="0"/>
      <w:marBottom w:val="0"/>
      <w:divBdr>
        <w:top w:val="none" w:sz="0" w:space="0" w:color="auto"/>
        <w:left w:val="none" w:sz="0" w:space="0" w:color="auto"/>
        <w:bottom w:val="none" w:sz="0" w:space="0" w:color="auto"/>
        <w:right w:val="none" w:sz="0" w:space="0" w:color="auto"/>
      </w:divBdr>
    </w:div>
    <w:div w:id="1557397677">
      <w:bodyDiv w:val="1"/>
      <w:marLeft w:val="0"/>
      <w:marRight w:val="0"/>
      <w:marTop w:val="0"/>
      <w:marBottom w:val="0"/>
      <w:divBdr>
        <w:top w:val="none" w:sz="0" w:space="0" w:color="auto"/>
        <w:left w:val="none" w:sz="0" w:space="0" w:color="auto"/>
        <w:bottom w:val="none" w:sz="0" w:space="0" w:color="auto"/>
        <w:right w:val="none" w:sz="0" w:space="0" w:color="auto"/>
      </w:divBdr>
    </w:div>
    <w:div w:id="1597523233">
      <w:bodyDiv w:val="1"/>
      <w:marLeft w:val="0"/>
      <w:marRight w:val="0"/>
      <w:marTop w:val="0"/>
      <w:marBottom w:val="0"/>
      <w:divBdr>
        <w:top w:val="none" w:sz="0" w:space="0" w:color="auto"/>
        <w:left w:val="none" w:sz="0" w:space="0" w:color="auto"/>
        <w:bottom w:val="none" w:sz="0" w:space="0" w:color="auto"/>
        <w:right w:val="none" w:sz="0" w:space="0" w:color="auto"/>
      </w:divBdr>
      <w:divsChild>
        <w:div w:id="225651882">
          <w:marLeft w:val="0"/>
          <w:marRight w:val="0"/>
          <w:marTop w:val="0"/>
          <w:marBottom w:val="0"/>
          <w:divBdr>
            <w:top w:val="none" w:sz="0" w:space="0" w:color="auto"/>
            <w:left w:val="none" w:sz="0" w:space="0" w:color="auto"/>
            <w:bottom w:val="none" w:sz="0" w:space="0" w:color="auto"/>
            <w:right w:val="none" w:sz="0" w:space="0" w:color="auto"/>
          </w:divBdr>
          <w:divsChild>
            <w:div w:id="1051222874">
              <w:marLeft w:val="0"/>
              <w:marRight w:val="0"/>
              <w:marTop w:val="0"/>
              <w:marBottom w:val="0"/>
              <w:divBdr>
                <w:top w:val="none" w:sz="0" w:space="0" w:color="auto"/>
                <w:left w:val="none" w:sz="0" w:space="0" w:color="auto"/>
                <w:bottom w:val="none" w:sz="0" w:space="0" w:color="auto"/>
                <w:right w:val="none" w:sz="0" w:space="0" w:color="auto"/>
              </w:divBdr>
            </w:div>
          </w:divsChild>
        </w:div>
        <w:div w:id="593435192">
          <w:marLeft w:val="0"/>
          <w:marRight w:val="0"/>
          <w:marTop w:val="0"/>
          <w:marBottom w:val="0"/>
          <w:divBdr>
            <w:top w:val="none" w:sz="0" w:space="0" w:color="auto"/>
            <w:left w:val="none" w:sz="0" w:space="0" w:color="auto"/>
            <w:bottom w:val="none" w:sz="0" w:space="0" w:color="auto"/>
            <w:right w:val="none" w:sz="0" w:space="0" w:color="auto"/>
          </w:divBdr>
          <w:divsChild>
            <w:div w:id="21983437">
              <w:marLeft w:val="0"/>
              <w:marRight w:val="0"/>
              <w:marTop w:val="0"/>
              <w:marBottom w:val="0"/>
              <w:divBdr>
                <w:top w:val="none" w:sz="0" w:space="0" w:color="auto"/>
                <w:left w:val="none" w:sz="0" w:space="0" w:color="auto"/>
                <w:bottom w:val="none" w:sz="0" w:space="0" w:color="auto"/>
                <w:right w:val="none" w:sz="0" w:space="0" w:color="auto"/>
              </w:divBdr>
            </w:div>
          </w:divsChild>
        </w:div>
        <w:div w:id="489178754">
          <w:marLeft w:val="0"/>
          <w:marRight w:val="0"/>
          <w:marTop w:val="0"/>
          <w:marBottom w:val="0"/>
          <w:divBdr>
            <w:top w:val="none" w:sz="0" w:space="0" w:color="auto"/>
            <w:left w:val="none" w:sz="0" w:space="0" w:color="auto"/>
            <w:bottom w:val="none" w:sz="0" w:space="0" w:color="auto"/>
            <w:right w:val="none" w:sz="0" w:space="0" w:color="auto"/>
          </w:divBdr>
          <w:divsChild>
            <w:div w:id="1801996759">
              <w:marLeft w:val="0"/>
              <w:marRight w:val="0"/>
              <w:marTop w:val="0"/>
              <w:marBottom w:val="0"/>
              <w:divBdr>
                <w:top w:val="none" w:sz="0" w:space="0" w:color="auto"/>
                <w:left w:val="none" w:sz="0" w:space="0" w:color="auto"/>
                <w:bottom w:val="none" w:sz="0" w:space="0" w:color="auto"/>
                <w:right w:val="none" w:sz="0" w:space="0" w:color="auto"/>
              </w:divBdr>
            </w:div>
            <w:div w:id="1207987121">
              <w:marLeft w:val="0"/>
              <w:marRight w:val="0"/>
              <w:marTop w:val="0"/>
              <w:marBottom w:val="0"/>
              <w:divBdr>
                <w:top w:val="none" w:sz="0" w:space="0" w:color="auto"/>
                <w:left w:val="none" w:sz="0" w:space="0" w:color="auto"/>
                <w:bottom w:val="none" w:sz="0" w:space="0" w:color="auto"/>
                <w:right w:val="none" w:sz="0" w:space="0" w:color="auto"/>
              </w:divBdr>
            </w:div>
          </w:divsChild>
        </w:div>
        <w:div w:id="1533377703">
          <w:marLeft w:val="0"/>
          <w:marRight w:val="0"/>
          <w:marTop w:val="0"/>
          <w:marBottom w:val="0"/>
          <w:divBdr>
            <w:top w:val="none" w:sz="0" w:space="0" w:color="auto"/>
            <w:left w:val="none" w:sz="0" w:space="0" w:color="auto"/>
            <w:bottom w:val="none" w:sz="0" w:space="0" w:color="auto"/>
            <w:right w:val="none" w:sz="0" w:space="0" w:color="auto"/>
          </w:divBdr>
          <w:divsChild>
            <w:div w:id="398283423">
              <w:marLeft w:val="0"/>
              <w:marRight w:val="0"/>
              <w:marTop w:val="0"/>
              <w:marBottom w:val="0"/>
              <w:divBdr>
                <w:top w:val="none" w:sz="0" w:space="0" w:color="auto"/>
                <w:left w:val="none" w:sz="0" w:space="0" w:color="auto"/>
                <w:bottom w:val="none" w:sz="0" w:space="0" w:color="auto"/>
                <w:right w:val="none" w:sz="0" w:space="0" w:color="auto"/>
              </w:divBdr>
            </w:div>
            <w:div w:id="1199782778">
              <w:marLeft w:val="0"/>
              <w:marRight w:val="0"/>
              <w:marTop w:val="0"/>
              <w:marBottom w:val="0"/>
              <w:divBdr>
                <w:top w:val="none" w:sz="0" w:space="0" w:color="auto"/>
                <w:left w:val="none" w:sz="0" w:space="0" w:color="auto"/>
                <w:bottom w:val="none" w:sz="0" w:space="0" w:color="auto"/>
                <w:right w:val="none" w:sz="0" w:space="0" w:color="auto"/>
              </w:divBdr>
            </w:div>
          </w:divsChild>
        </w:div>
        <w:div w:id="532501116">
          <w:marLeft w:val="0"/>
          <w:marRight w:val="0"/>
          <w:marTop w:val="0"/>
          <w:marBottom w:val="0"/>
          <w:divBdr>
            <w:top w:val="none" w:sz="0" w:space="0" w:color="auto"/>
            <w:left w:val="none" w:sz="0" w:space="0" w:color="auto"/>
            <w:bottom w:val="none" w:sz="0" w:space="0" w:color="auto"/>
            <w:right w:val="none" w:sz="0" w:space="0" w:color="auto"/>
          </w:divBdr>
          <w:divsChild>
            <w:div w:id="788357194">
              <w:marLeft w:val="0"/>
              <w:marRight w:val="0"/>
              <w:marTop w:val="0"/>
              <w:marBottom w:val="0"/>
              <w:divBdr>
                <w:top w:val="none" w:sz="0" w:space="0" w:color="auto"/>
                <w:left w:val="none" w:sz="0" w:space="0" w:color="auto"/>
                <w:bottom w:val="none" w:sz="0" w:space="0" w:color="auto"/>
                <w:right w:val="none" w:sz="0" w:space="0" w:color="auto"/>
              </w:divBdr>
            </w:div>
          </w:divsChild>
        </w:div>
        <w:div w:id="2097970115">
          <w:marLeft w:val="0"/>
          <w:marRight w:val="0"/>
          <w:marTop w:val="0"/>
          <w:marBottom w:val="0"/>
          <w:divBdr>
            <w:top w:val="none" w:sz="0" w:space="0" w:color="auto"/>
            <w:left w:val="none" w:sz="0" w:space="0" w:color="auto"/>
            <w:bottom w:val="none" w:sz="0" w:space="0" w:color="auto"/>
            <w:right w:val="none" w:sz="0" w:space="0" w:color="auto"/>
          </w:divBdr>
          <w:divsChild>
            <w:div w:id="2017148482">
              <w:marLeft w:val="0"/>
              <w:marRight w:val="0"/>
              <w:marTop w:val="0"/>
              <w:marBottom w:val="0"/>
              <w:divBdr>
                <w:top w:val="none" w:sz="0" w:space="0" w:color="auto"/>
                <w:left w:val="none" w:sz="0" w:space="0" w:color="auto"/>
                <w:bottom w:val="none" w:sz="0" w:space="0" w:color="auto"/>
                <w:right w:val="none" w:sz="0" w:space="0" w:color="auto"/>
              </w:divBdr>
            </w:div>
          </w:divsChild>
        </w:div>
        <w:div w:id="311250300">
          <w:marLeft w:val="0"/>
          <w:marRight w:val="0"/>
          <w:marTop w:val="0"/>
          <w:marBottom w:val="0"/>
          <w:divBdr>
            <w:top w:val="none" w:sz="0" w:space="0" w:color="auto"/>
            <w:left w:val="none" w:sz="0" w:space="0" w:color="auto"/>
            <w:bottom w:val="none" w:sz="0" w:space="0" w:color="auto"/>
            <w:right w:val="none" w:sz="0" w:space="0" w:color="auto"/>
          </w:divBdr>
          <w:divsChild>
            <w:div w:id="608896213">
              <w:marLeft w:val="0"/>
              <w:marRight w:val="0"/>
              <w:marTop w:val="0"/>
              <w:marBottom w:val="0"/>
              <w:divBdr>
                <w:top w:val="none" w:sz="0" w:space="0" w:color="auto"/>
                <w:left w:val="none" w:sz="0" w:space="0" w:color="auto"/>
                <w:bottom w:val="none" w:sz="0" w:space="0" w:color="auto"/>
                <w:right w:val="none" w:sz="0" w:space="0" w:color="auto"/>
              </w:divBdr>
            </w:div>
            <w:div w:id="2068992273">
              <w:marLeft w:val="0"/>
              <w:marRight w:val="0"/>
              <w:marTop w:val="0"/>
              <w:marBottom w:val="0"/>
              <w:divBdr>
                <w:top w:val="none" w:sz="0" w:space="0" w:color="auto"/>
                <w:left w:val="none" w:sz="0" w:space="0" w:color="auto"/>
                <w:bottom w:val="none" w:sz="0" w:space="0" w:color="auto"/>
                <w:right w:val="none" w:sz="0" w:space="0" w:color="auto"/>
              </w:divBdr>
            </w:div>
          </w:divsChild>
        </w:div>
        <w:div w:id="1332947546">
          <w:marLeft w:val="0"/>
          <w:marRight w:val="0"/>
          <w:marTop w:val="0"/>
          <w:marBottom w:val="0"/>
          <w:divBdr>
            <w:top w:val="none" w:sz="0" w:space="0" w:color="auto"/>
            <w:left w:val="none" w:sz="0" w:space="0" w:color="auto"/>
            <w:bottom w:val="none" w:sz="0" w:space="0" w:color="auto"/>
            <w:right w:val="none" w:sz="0" w:space="0" w:color="auto"/>
          </w:divBdr>
          <w:divsChild>
            <w:div w:id="683291941">
              <w:marLeft w:val="0"/>
              <w:marRight w:val="0"/>
              <w:marTop w:val="0"/>
              <w:marBottom w:val="0"/>
              <w:divBdr>
                <w:top w:val="none" w:sz="0" w:space="0" w:color="auto"/>
                <w:left w:val="none" w:sz="0" w:space="0" w:color="auto"/>
                <w:bottom w:val="none" w:sz="0" w:space="0" w:color="auto"/>
                <w:right w:val="none" w:sz="0" w:space="0" w:color="auto"/>
              </w:divBdr>
            </w:div>
            <w:div w:id="1935286073">
              <w:marLeft w:val="0"/>
              <w:marRight w:val="0"/>
              <w:marTop w:val="0"/>
              <w:marBottom w:val="0"/>
              <w:divBdr>
                <w:top w:val="none" w:sz="0" w:space="0" w:color="auto"/>
                <w:left w:val="none" w:sz="0" w:space="0" w:color="auto"/>
                <w:bottom w:val="none" w:sz="0" w:space="0" w:color="auto"/>
                <w:right w:val="none" w:sz="0" w:space="0" w:color="auto"/>
              </w:divBdr>
            </w:div>
          </w:divsChild>
        </w:div>
        <w:div w:id="958149919">
          <w:marLeft w:val="0"/>
          <w:marRight w:val="0"/>
          <w:marTop w:val="0"/>
          <w:marBottom w:val="0"/>
          <w:divBdr>
            <w:top w:val="none" w:sz="0" w:space="0" w:color="auto"/>
            <w:left w:val="none" w:sz="0" w:space="0" w:color="auto"/>
            <w:bottom w:val="none" w:sz="0" w:space="0" w:color="auto"/>
            <w:right w:val="none" w:sz="0" w:space="0" w:color="auto"/>
          </w:divBdr>
          <w:divsChild>
            <w:div w:id="1162818165">
              <w:marLeft w:val="0"/>
              <w:marRight w:val="0"/>
              <w:marTop w:val="0"/>
              <w:marBottom w:val="0"/>
              <w:divBdr>
                <w:top w:val="none" w:sz="0" w:space="0" w:color="auto"/>
                <w:left w:val="none" w:sz="0" w:space="0" w:color="auto"/>
                <w:bottom w:val="none" w:sz="0" w:space="0" w:color="auto"/>
                <w:right w:val="none" w:sz="0" w:space="0" w:color="auto"/>
              </w:divBdr>
            </w:div>
          </w:divsChild>
        </w:div>
        <w:div w:id="1335448945">
          <w:marLeft w:val="0"/>
          <w:marRight w:val="0"/>
          <w:marTop w:val="0"/>
          <w:marBottom w:val="0"/>
          <w:divBdr>
            <w:top w:val="none" w:sz="0" w:space="0" w:color="auto"/>
            <w:left w:val="none" w:sz="0" w:space="0" w:color="auto"/>
            <w:bottom w:val="none" w:sz="0" w:space="0" w:color="auto"/>
            <w:right w:val="none" w:sz="0" w:space="0" w:color="auto"/>
          </w:divBdr>
          <w:divsChild>
            <w:div w:id="1965040586">
              <w:marLeft w:val="0"/>
              <w:marRight w:val="0"/>
              <w:marTop w:val="0"/>
              <w:marBottom w:val="0"/>
              <w:divBdr>
                <w:top w:val="none" w:sz="0" w:space="0" w:color="auto"/>
                <w:left w:val="none" w:sz="0" w:space="0" w:color="auto"/>
                <w:bottom w:val="none" w:sz="0" w:space="0" w:color="auto"/>
                <w:right w:val="none" w:sz="0" w:space="0" w:color="auto"/>
              </w:divBdr>
            </w:div>
            <w:div w:id="562834794">
              <w:marLeft w:val="0"/>
              <w:marRight w:val="0"/>
              <w:marTop w:val="0"/>
              <w:marBottom w:val="0"/>
              <w:divBdr>
                <w:top w:val="none" w:sz="0" w:space="0" w:color="auto"/>
                <w:left w:val="none" w:sz="0" w:space="0" w:color="auto"/>
                <w:bottom w:val="none" w:sz="0" w:space="0" w:color="auto"/>
                <w:right w:val="none" w:sz="0" w:space="0" w:color="auto"/>
              </w:divBdr>
            </w:div>
          </w:divsChild>
        </w:div>
        <w:div w:id="1150754826">
          <w:marLeft w:val="0"/>
          <w:marRight w:val="0"/>
          <w:marTop w:val="0"/>
          <w:marBottom w:val="0"/>
          <w:divBdr>
            <w:top w:val="none" w:sz="0" w:space="0" w:color="auto"/>
            <w:left w:val="none" w:sz="0" w:space="0" w:color="auto"/>
            <w:bottom w:val="none" w:sz="0" w:space="0" w:color="auto"/>
            <w:right w:val="none" w:sz="0" w:space="0" w:color="auto"/>
          </w:divBdr>
          <w:divsChild>
            <w:div w:id="1748769043">
              <w:marLeft w:val="0"/>
              <w:marRight w:val="0"/>
              <w:marTop w:val="0"/>
              <w:marBottom w:val="0"/>
              <w:divBdr>
                <w:top w:val="none" w:sz="0" w:space="0" w:color="auto"/>
                <w:left w:val="none" w:sz="0" w:space="0" w:color="auto"/>
                <w:bottom w:val="none" w:sz="0" w:space="0" w:color="auto"/>
                <w:right w:val="none" w:sz="0" w:space="0" w:color="auto"/>
              </w:divBdr>
            </w:div>
            <w:div w:id="1952516351">
              <w:marLeft w:val="0"/>
              <w:marRight w:val="0"/>
              <w:marTop w:val="0"/>
              <w:marBottom w:val="0"/>
              <w:divBdr>
                <w:top w:val="none" w:sz="0" w:space="0" w:color="auto"/>
                <w:left w:val="none" w:sz="0" w:space="0" w:color="auto"/>
                <w:bottom w:val="none" w:sz="0" w:space="0" w:color="auto"/>
                <w:right w:val="none" w:sz="0" w:space="0" w:color="auto"/>
              </w:divBdr>
            </w:div>
            <w:div w:id="819152743">
              <w:marLeft w:val="0"/>
              <w:marRight w:val="0"/>
              <w:marTop w:val="0"/>
              <w:marBottom w:val="0"/>
              <w:divBdr>
                <w:top w:val="none" w:sz="0" w:space="0" w:color="auto"/>
                <w:left w:val="none" w:sz="0" w:space="0" w:color="auto"/>
                <w:bottom w:val="none" w:sz="0" w:space="0" w:color="auto"/>
                <w:right w:val="none" w:sz="0" w:space="0" w:color="auto"/>
              </w:divBdr>
            </w:div>
          </w:divsChild>
        </w:div>
        <w:div w:id="1032145212">
          <w:marLeft w:val="0"/>
          <w:marRight w:val="0"/>
          <w:marTop w:val="0"/>
          <w:marBottom w:val="0"/>
          <w:divBdr>
            <w:top w:val="none" w:sz="0" w:space="0" w:color="auto"/>
            <w:left w:val="none" w:sz="0" w:space="0" w:color="auto"/>
            <w:bottom w:val="none" w:sz="0" w:space="0" w:color="auto"/>
            <w:right w:val="none" w:sz="0" w:space="0" w:color="auto"/>
          </w:divBdr>
          <w:divsChild>
            <w:div w:id="826868241">
              <w:marLeft w:val="0"/>
              <w:marRight w:val="0"/>
              <w:marTop w:val="0"/>
              <w:marBottom w:val="0"/>
              <w:divBdr>
                <w:top w:val="none" w:sz="0" w:space="0" w:color="auto"/>
                <w:left w:val="none" w:sz="0" w:space="0" w:color="auto"/>
                <w:bottom w:val="none" w:sz="0" w:space="0" w:color="auto"/>
                <w:right w:val="none" w:sz="0" w:space="0" w:color="auto"/>
              </w:divBdr>
            </w:div>
          </w:divsChild>
        </w:div>
        <w:div w:id="1261568179">
          <w:marLeft w:val="0"/>
          <w:marRight w:val="0"/>
          <w:marTop w:val="0"/>
          <w:marBottom w:val="0"/>
          <w:divBdr>
            <w:top w:val="none" w:sz="0" w:space="0" w:color="auto"/>
            <w:left w:val="none" w:sz="0" w:space="0" w:color="auto"/>
            <w:bottom w:val="none" w:sz="0" w:space="0" w:color="auto"/>
            <w:right w:val="none" w:sz="0" w:space="0" w:color="auto"/>
          </w:divBdr>
          <w:divsChild>
            <w:div w:id="280189094">
              <w:marLeft w:val="0"/>
              <w:marRight w:val="0"/>
              <w:marTop w:val="0"/>
              <w:marBottom w:val="0"/>
              <w:divBdr>
                <w:top w:val="none" w:sz="0" w:space="0" w:color="auto"/>
                <w:left w:val="none" w:sz="0" w:space="0" w:color="auto"/>
                <w:bottom w:val="none" w:sz="0" w:space="0" w:color="auto"/>
                <w:right w:val="none" w:sz="0" w:space="0" w:color="auto"/>
              </w:divBdr>
            </w:div>
            <w:div w:id="2091460966">
              <w:marLeft w:val="0"/>
              <w:marRight w:val="0"/>
              <w:marTop w:val="0"/>
              <w:marBottom w:val="0"/>
              <w:divBdr>
                <w:top w:val="none" w:sz="0" w:space="0" w:color="auto"/>
                <w:left w:val="none" w:sz="0" w:space="0" w:color="auto"/>
                <w:bottom w:val="none" w:sz="0" w:space="0" w:color="auto"/>
                <w:right w:val="none" w:sz="0" w:space="0" w:color="auto"/>
              </w:divBdr>
            </w:div>
          </w:divsChild>
        </w:div>
        <w:div w:id="2100521537">
          <w:marLeft w:val="0"/>
          <w:marRight w:val="0"/>
          <w:marTop w:val="0"/>
          <w:marBottom w:val="0"/>
          <w:divBdr>
            <w:top w:val="none" w:sz="0" w:space="0" w:color="auto"/>
            <w:left w:val="none" w:sz="0" w:space="0" w:color="auto"/>
            <w:bottom w:val="none" w:sz="0" w:space="0" w:color="auto"/>
            <w:right w:val="none" w:sz="0" w:space="0" w:color="auto"/>
          </w:divBdr>
          <w:divsChild>
            <w:div w:id="1772049894">
              <w:marLeft w:val="0"/>
              <w:marRight w:val="0"/>
              <w:marTop w:val="0"/>
              <w:marBottom w:val="0"/>
              <w:divBdr>
                <w:top w:val="none" w:sz="0" w:space="0" w:color="auto"/>
                <w:left w:val="none" w:sz="0" w:space="0" w:color="auto"/>
                <w:bottom w:val="none" w:sz="0" w:space="0" w:color="auto"/>
                <w:right w:val="none" w:sz="0" w:space="0" w:color="auto"/>
              </w:divBdr>
            </w:div>
          </w:divsChild>
        </w:div>
        <w:div w:id="2058509758">
          <w:marLeft w:val="0"/>
          <w:marRight w:val="0"/>
          <w:marTop w:val="0"/>
          <w:marBottom w:val="0"/>
          <w:divBdr>
            <w:top w:val="none" w:sz="0" w:space="0" w:color="auto"/>
            <w:left w:val="none" w:sz="0" w:space="0" w:color="auto"/>
            <w:bottom w:val="none" w:sz="0" w:space="0" w:color="auto"/>
            <w:right w:val="none" w:sz="0" w:space="0" w:color="auto"/>
          </w:divBdr>
          <w:divsChild>
            <w:div w:id="1420981189">
              <w:marLeft w:val="0"/>
              <w:marRight w:val="0"/>
              <w:marTop w:val="0"/>
              <w:marBottom w:val="0"/>
              <w:divBdr>
                <w:top w:val="none" w:sz="0" w:space="0" w:color="auto"/>
                <w:left w:val="none" w:sz="0" w:space="0" w:color="auto"/>
                <w:bottom w:val="none" w:sz="0" w:space="0" w:color="auto"/>
                <w:right w:val="none" w:sz="0" w:space="0" w:color="auto"/>
              </w:divBdr>
            </w:div>
          </w:divsChild>
        </w:div>
        <w:div w:id="718088258">
          <w:marLeft w:val="0"/>
          <w:marRight w:val="0"/>
          <w:marTop w:val="0"/>
          <w:marBottom w:val="0"/>
          <w:divBdr>
            <w:top w:val="none" w:sz="0" w:space="0" w:color="auto"/>
            <w:left w:val="none" w:sz="0" w:space="0" w:color="auto"/>
            <w:bottom w:val="none" w:sz="0" w:space="0" w:color="auto"/>
            <w:right w:val="none" w:sz="0" w:space="0" w:color="auto"/>
          </w:divBdr>
          <w:divsChild>
            <w:div w:id="1749032166">
              <w:marLeft w:val="0"/>
              <w:marRight w:val="0"/>
              <w:marTop w:val="0"/>
              <w:marBottom w:val="0"/>
              <w:divBdr>
                <w:top w:val="none" w:sz="0" w:space="0" w:color="auto"/>
                <w:left w:val="none" w:sz="0" w:space="0" w:color="auto"/>
                <w:bottom w:val="none" w:sz="0" w:space="0" w:color="auto"/>
                <w:right w:val="none" w:sz="0" w:space="0" w:color="auto"/>
              </w:divBdr>
            </w:div>
          </w:divsChild>
        </w:div>
        <w:div w:id="928926658">
          <w:marLeft w:val="0"/>
          <w:marRight w:val="0"/>
          <w:marTop w:val="0"/>
          <w:marBottom w:val="0"/>
          <w:divBdr>
            <w:top w:val="none" w:sz="0" w:space="0" w:color="auto"/>
            <w:left w:val="none" w:sz="0" w:space="0" w:color="auto"/>
            <w:bottom w:val="none" w:sz="0" w:space="0" w:color="auto"/>
            <w:right w:val="none" w:sz="0" w:space="0" w:color="auto"/>
          </w:divBdr>
          <w:divsChild>
            <w:div w:id="2147047578">
              <w:marLeft w:val="0"/>
              <w:marRight w:val="0"/>
              <w:marTop w:val="0"/>
              <w:marBottom w:val="0"/>
              <w:divBdr>
                <w:top w:val="none" w:sz="0" w:space="0" w:color="auto"/>
                <w:left w:val="none" w:sz="0" w:space="0" w:color="auto"/>
                <w:bottom w:val="none" w:sz="0" w:space="0" w:color="auto"/>
                <w:right w:val="none" w:sz="0" w:space="0" w:color="auto"/>
              </w:divBdr>
            </w:div>
          </w:divsChild>
        </w:div>
        <w:div w:id="247661018">
          <w:marLeft w:val="0"/>
          <w:marRight w:val="0"/>
          <w:marTop w:val="0"/>
          <w:marBottom w:val="0"/>
          <w:divBdr>
            <w:top w:val="none" w:sz="0" w:space="0" w:color="auto"/>
            <w:left w:val="none" w:sz="0" w:space="0" w:color="auto"/>
            <w:bottom w:val="none" w:sz="0" w:space="0" w:color="auto"/>
            <w:right w:val="none" w:sz="0" w:space="0" w:color="auto"/>
          </w:divBdr>
          <w:divsChild>
            <w:div w:id="588268576">
              <w:marLeft w:val="0"/>
              <w:marRight w:val="0"/>
              <w:marTop w:val="0"/>
              <w:marBottom w:val="0"/>
              <w:divBdr>
                <w:top w:val="none" w:sz="0" w:space="0" w:color="auto"/>
                <w:left w:val="none" w:sz="0" w:space="0" w:color="auto"/>
                <w:bottom w:val="none" w:sz="0" w:space="0" w:color="auto"/>
                <w:right w:val="none" w:sz="0" w:space="0" w:color="auto"/>
              </w:divBdr>
            </w:div>
          </w:divsChild>
        </w:div>
        <w:div w:id="431822359">
          <w:marLeft w:val="0"/>
          <w:marRight w:val="0"/>
          <w:marTop w:val="0"/>
          <w:marBottom w:val="0"/>
          <w:divBdr>
            <w:top w:val="none" w:sz="0" w:space="0" w:color="auto"/>
            <w:left w:val="none" w:sz="0" w:space="0" w:color="auto"/>
            <w:bottom w:val="none" w:sz="0" w:space="0" w:color="auto"/>
            <w:right w:val="none" w:sz="0" w:space="0" w:color="auto"/>
          </w:divBdr>
          <w:divsChild>
            <w:div w:id="154076226">
              <w:marLeft w:val="0"/>
              <w:marRight w:val="0"/>
              <w:marTop w:val="0"/>
              <w:marBottom w:val="0"/>
              <w:divBdr>
                <w:top w:val="none" w:sz="0" w:space="0" w:color="auto"/>
                <w:left w:val="none" w:sz="0" w:space="0" w:color="auto"/>
                <w:bottom w:val="none" w:sz="0" w:space="0" w:color="auto"/>
                <w:right w:val="none" w:sz="0" w:space="0" w:color="auto"/>
              </w:divBdr>
            </w:div>
            <w:div w:id="1654946048">
              <w:marLeft w:val="0"/>
              <w:marRight w:val="0"/>
              <w:marTop w:val="0"/>
              <w:marBottom w:val="0"/>
              <w:divBdr>
                <w:top w:val="none" w:sz="0" w:space="0" w:color="auto"/>
                <w:left w:val="none" w:sz="0" w:space="0" w:color="auto"/>
                <w:bottom w:val="none" w:sz="0" w:space="0" w:color="auto"/>
                <w:right w:val="none" w:sz="0" w:space="0" w:color="auto"/>
              </w:divBdr>
            </w:div>
          </w:divsChild>
        </w:div>
        <w:div w:id="1305506590">
          <w:marLeft w:val="0"/>
          <w:marRight w:val="0"/>
          <w:marTop w:val="0"/>
          <w:marBottom w:val="0"/>
          <w:divBdr>
            <w:top w:val="none" w:sz="0" w:space="0" w:color="auto"/>
            <w:left w:val="none" w:sz="0" w:space="0" w:color="auto"/>
            <w:bottom w:val="none" w:sz="0" w:space="0" w:color="auto"/>
            <w:right w:val="none" w:sz="0" w:space="0" w:color="auto"/>
          </w:divBdr>
          <w:divsChild>
            <w:div w:id="45223638">
              <w:marLeft w:val="0"/>
              <w:marRight w:val="0"/>
              <w:marTop w:val="0"/>
              <w:marBottom w:val="0"/>
              <w:divBdr>
                <w:top w:val="none" w:sz="0" w:space="0" w:color="auto"/>
                <w:left w:val="none" w:sz="0" w:space="0" w:color="auto"/>
                <w:bottom w:val="none" w:sz="0" w:space="0" w:color="auto"/>
                <w:right w:val="none" w:sz="0" w:space="0" w:color="auto"/>
              </w:divBdr>
            </w:div>
            <w:div w:id="874125929">
              <w:marLeft w:val="0"/>
              <w:marRight w:val="0"/>
              <w:marTop w:val="0"/>
              <w:marBottom w:val="0"/>
              <w:divBdr>
                <w:top w:val="none" w:sz="0" w:space="0" w:color="auto"/>
                <w:left w:val="none" w:sz="0" w:space="0" w:color="auto"/>
                <w:bottom w:val="none" w:sz="0" w:space="0" w:color="auto"/>
                <w:right w:val="none" w:sz="0" w:space="0" w:color="auto"/>
              </w:divBdr>
            </w:div>
          </w:divsChild>
        </w:div>
        <w:div w:id="2082671776">
          <w:marLeft w:val="0"/>
          <w:marRight w:val="0"/>
          <w:marTop w:val="0"/>
          <w:marBottom w:val="0"/>
          <w:divBdr>
            <w:top w:val="none" w:sz="0" w:space="0" w:color="auto"/>
            <w:left w:val="none" w:sz="0" w:space="0" w:color="auto"/>
            <w:bottom w:val="none" w:sz="0" w:space="0" w:color="auto"/>
            <w:right w:val="none" w:sz="0" w:space="0" w:color="auto"/>
          </w:divBdr>
          <w:divsChild>
            <w:div w:id="445855180">
              <w:marLeft w:val="0"/>
              <w:marRight w:val="0"/>
              <w:marTop w:val="0"/>
              <w:marBottom w:val="0"/>
              <w:divBdr>
                <w:top w:val="none" w:sz="0" w:space="0" w:color="auto"/>
                <w:left w:val="none" w:sz="0" w:space="0" w:color="auto"/>
                <w:bottom w:val="none" w:sz="0" w:space="0" w:color="auto"/>
                <w:right w:val="none" w:sz="0" w:space="0" w:color="auto"/>
              </w:divBdr>
            </w:div>
          </w:divsChild>
        </w:div>
        <w:div w:id="835875797">
          <w:marLeft w:val="0"/>
          <w:marRight w:val="0"/>
          <w:marTop w:val="0"/>
          <w:marBottom w:val="0"/>
          <w:divBdr>
            <w:top w:val="none" w:sz="0" w:space="0" w:color="auto"/>
            <w:left w:val="none" w:sz="0" w:space="0" w:color="auto"/>
            <w:bottom w:val="none" w:sz="0" w:space="0" w:color="auto"/>
            <w:right w:val="none" w:sz="0" w:space="0" w:color="auto"/>
          </w:divBdr>
          <w:divsChild>
            <w:div w:id="1579094575">
              <w:marLeft w:val="0"/>
              <w:marRight w:val="0"/>
              <w:marTop w:val="0"/>
              <w:marBottom w:val="0"/>
              <w:divBdr>
                <w:top w:val="none" w:sz="0" w:space="0" w:color="auto"/>
                <w:left w:val="none" w:sz="0" w:space="0" w:color="auto"/>
                <w:bottom w:val="none" w:sz="0" w:space="0" w:color="auto"/>
                <w:right w:val="none" w:sz="0" w:space="0" w:color="auto"/>
              </w:divBdr>
            </w:div>
          </w:divsChild>
        </w:div>
        <w:div w:id="397824397">
          <w:marLeft w:val="0"/>
          <w:marRight w:val="0"/>
          <w:marTop w:val="0"/>
          <w:marBottom w:val="0"/>
          <w:divBdr>
            <w:top w:val="none" w:sz="0" w:space="0" w:color="auto"/>
            <w:left w:val="none" w:sz="0" w:space="0" w:color="auto"/>
            <w:bottom w:val="none" w:sz="0" w:space="0" w:color="auto"/>
            <w:right w:val="none" w:sz="0" w:space="0" w:color="auto"/>
          </w:divBdr>
          <w:divsChild>
            <w:div w:id="1558936271">
              <w:marLeft w:val="0"/>
              <w:marRight w:val="0"/>
              <w:marTop w:val="0"/>
              <w:marBottom w:val="0"/>
              <w:divBdr>
                <w:top w:val="none" w:sz="0" w:space="0" w:color="auto"/>
                <w:left w:val="none" w:sz="0" w:space="0" w:color="auto"/>
                <w:bottom w:val="none" w:sz="0" w:space="0" w:color="auto"/>
                <w:right w:val="none" w:sz="0" w:space="0" w:color="auto"/>
              </w:divBdr>
            </w:div>
            <w:div w:id="300119025">
              <w:marLeft w:val="0"/>
              <w:marRight w:val="0"/>
              <w:marTop w:val="0"/>
              <w:marBottom w:val="0"/>
              <w:divBdr>
                <w:top w:val="none" w:sz="0" w:space="0" w:color="auto"/>
                <w:left w:val="none" w:sz="0" w:space="0" w:color="auto"/>
                <w:bottom w:val="none" w:sz="0" w:space="0" w:color="auto"/>
                <w:right w:val="none" w:sz="0" w:space="0" w:color="auto"/>
              </w:divBdr>
            </w:div>
          </w:divsChild>
        </w:div>
        <w:div w:id="982807309">
          <w:marLeft w:val="0"/>
          <w:marRight w:val="0"/>
          <w:marTop w:val="0"/>
          <w:marBottom w:val="0"/>
          <w:divBdr>
            <w:top w:val="none" w:sz="0" w:space="0" w:color="auto"/>
            <w:left w:val="none" w:sz="0" w:space="0" w:color="auto"/>
            <w:bottom w:val="none" w:sz="0" w:space="0" w:color="auto"/>
            <w:right w:val="none" w:sz="0" w:space="0" w:color="auto"/>
          </w:divBdr>
          <w:divsChild>
            <w:div w:id="7337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51086">
      <w:bodyDiv w:val="1"/>
      <w:marLeft w:val="0"/>
      <w:marRight w:val="0"/>
      <w:marTop w:val="0"/>
      <w:marBottom w:val="0"/>
      <w:divBdr>
        <w:top w:val="none" w:sz="0" w:space="0" w:color="auto"/>
        <w:left w:val="none" w:sz="0" w:space="0" w:color="auto"/>
        <w:bottom w:val="none" w:sz="0" w:space="0" w:color="auto"/>
        <w:right w:val="none" w:sz="0" w:space="0" w:color="auto"/>
      </w:divBdr>
      <w:divsChild>
        <w:div w:id="1177496076">
          <w:marLeft w:val="0"/>
          <w:marRight w:val="0"/>
          <w:marTop w:val="0"/>
          <w:marBottom w:val="0"/>
          <w:divBdr>
            <w:top w:val="none" w:sz="0" w:space="0" w:color="auto"/>
            <w:left w:val="none" w:sz="0" w:space="0" w:color="auto"/>
            <w:bottom w:val="none" w:sz="0" w:space="0" w:color="auto"/>
            <w:right w:val="none" w:sz="0" w:space="0" w:color="auto"/>
          </w:divBdr>
          <w:divsChild>
            <w:div w:id="896670578">
              <w:marLeft w:val="0"/>
              <w:marRight w:val="0"/>
              <w:marTop w:val="0"/>
              <w:marBottom w:val="0"/>
              <w:divBdr>
                <w:top w:val="none" w:sz="0" w:space="0" w:color="auto"/>
                <w:left w:val="none" w:sz="0" w:space="0" w:color="auto"/>
                <w:bottom w:val="none" w:sz="0" w:space="0" w:color="auto"/>
                <w:right w:val="none" w:sz="0" w:space="0" w:color="auto"/>
              </w:divBdr>
            </w:div>
            <w:div w:id="1740325384">
              <w:marLeft w:val="0"/>
              <w:marRight w:val="0"/>
              <w:marTop w:val="0"/>
              <w:marBottom w:val="0"/>
              <w:divBdr>
                <w:top w:val="none" w:sz="0" w:space="0" w:color="auto"/>
                <w:left w:val="none" w:sz="0" w:space="0" w:color="auto"/>
                <w:bottom w:val="none" w:sz="0" w:space="0" w:color="auto"/>
                <w:right w:val="none" w:sz="0" w:space="0" w:color="auto"/>
              </w:divBdr>
            </w:div>
          </w:divsChild>
        </w:div>
        <w:div w:id="2089840550">
          <w:marLeft w:val="0"/>
          <w:marRight w:val="0"/>
          <w:marTop w:val="0"/>
          <w:marBottom w:val="0"/>
          <w:divBdr>
            <w:top w:val="none" w:sz="0" w:space="0" w:color="auto"/>
            <w:left w:val="none" w:sz="0" w:space="0" w:color="auto"/>
            <w:bottom w:val="none" w:sz="0" w:space="0" w:color="auto"/>
            <w:right w:val="none" w:sz="0" w:space="0" w:color="auto"/>
          </w:divBdr>
          <w:divsChild>
            <w:div w:id="1368868058">
              <w:marLeft w:val="0"/>
              <w:marRight w:val="0"/>
              <w:marTop w:val="30"/>
              <w:marBottom w:val="30"/>
              <w:divBdr>
                <w:top w:val="none" w:sz="0" w:space="0" w:color="auto"/>
                <w:left w:val="none" w:sz="0" w:space="0" w:color="auto"/>
                <w:bottom w:val="none" w:sz="0" w:space="0" w:color="auto"/>
                <w:right w:val="none" w:sz="0" w:space="0" w:color="auto"/>
              </w:divBdr>
              <w:divsChild>
                <w:div w:id="1275138789">
                  <w:marLeft w:val="0"/>
                  <w:marRight w:val="0"/>
                  <w:marTop w:val="0"/>
                  <w:marBottom w:val="0"/>
                  <w:divBdr>
                    <w:top w:val="none" w:sz="0" w:space="0" w:color="auto"/>
                    <w:left w:val="none" w:sz="0" w:space="0" w:color="auto"/>
                    <w:bottom w:val="none" w:sz="0" w:space="0" w:color="auto"/>
                    <w:right w:val="none" w:sz="0" w:space="0" w:color="auto"/>
                  </w:divBdr>
                  <w:divsChild>
                    <w:div w:id="439567667">
                      <w:marLeft w:val="0"/>
                      <w:marRight w:val="0"/>
                      <w:marTop w:val="0"/>
                      <w:marBottom w:val="0"/>
                      <w:divBdr>
                        <w:top w:val="none" w:sz="0" w:space="0" w:color="auto"/>
                        <w:left w:val="none" w:sz="0" w:space="0" w:color="auto"/>
                        <w:bottom w:val="none" w:sz="0" w:space="0" w:color="auto"/>
                        <w:right w:val="none" w:sz="0" w:space="0" w:color="auto"/>
                      </w:divBdr>
                    </w:div>
                  </w:divsChild>
                </w:div>
                <w:div w:id="36395648">
                  <w:marLeft w:val="0"/>
                  <w:marRight w:val="0"/>
                  <w:marTop w:val="0"/>
                  <w:marBottom w:val="0"/>
                  <w:divBdr>
                    <w:top w:val="none" w:sz="0" w:space="0" w:color="auto"/>
                    <w:left w:val="none" w:sz="0" w:space="0" w:color="auto"/>
                    <w:bottom w:val="none" w:sz="0" w:space="0" w:color="auto"/>
                    <w:right w:val="none" w:sz="0" w:space="0" w:color="auto"/>
                  </w:divBdr>
                  <w:divsChild>
                    <w:div w:id="1483234494">
                      <w:marLeft w:val="0"/>
                      <w:marRight w:val="0"/>
                      <w:marTop w:val="0"/>
                      <w:marBottom w:val="0"/>
                      <w:divBdr>
                        <w:top w:val="none" w:sz="0" w:space="0" w:color="auto"/>
                        <w:left w:val="none" w:sz="0" w:space="0" w:color="auto"/>
                        <w:bottom w:val="none" w:sz="0" w:space="0" w:color="auto"/>
                        <w:right w:val="none" w:sz="0" w:space="0" w:color="auto"/>
                      </w:divBdr>
                    </w:div>
                  </w:divsChild>
                </w:div>
                <w:div w:id="2112628869">
                  <w:marLeft w:val="0"/>
                  <w:marRight w:val="0"/>
                  <w:marTop w:val="0"/>
                  <w:marBottom w:val="0"/>
                  <w:divBdr>
                    <w:top w:val="none" w:sz="0" w:space="0" w:color="auto"/>
                    <w:left w:val="none" w:sz="0" w:space="0" w:color="auto"/>
                    <w:bottom w:val="none" w:sz="0" w:space="0" w:color="auto"/>
                    <w:right w:val="none" w:sz="0" w:space="0" w:color="auto"/>
                  </w:divBdr>
                  <w:divsChild>
                    <w:div w:id="2048555480">
                      <w:marLeft w:val="0"/>
                      <w:marRight w:val="0"/>
                      <w:marTop w:val="0"/>
                      <w:marBottom w:val="0"/>
                      <w:divBdr>
                        <w:top w:val="none" w:sz="0" w:space="0" w:color="auto"/>
                        <w:left w:val="none" w:sz="0" w:space="0" w:color="auto"/>
                        <w:bottom w:val="none" w:sz="0" w:space="0" w:color="auto"/>
                        <w:right w:val="none" w:sz="0" w:space="0" w:color="auto"/>
                      </w:divBdr>
                    </w:div>
                  </w:divsChild>
                </w:div>
                <w:div w:id="2084570420">
                  <w:marLeft w:val="0"/>
                  <w:marRight w:val="0"/>
                  <w:marTop w:val="0"/>
                  <w:marBottom w:val="0"/>
                  <w:divBdr>
                    <w:top w:val="none" w:sz="0" w:space="0" w:color="auto"/>
                    <w:left w:val="none" w:sz="0" w:space="0" w:color="auto"/>
                    <w:bottom w:val="none" w:sz="0" w:space="0" w:color="auto"/>
                    <w:right w:val="none" w:sz="0" w:space="0" w:color="auto"/>
                  </w:divBdr>
                  <w:divsChild>
                    <w:div w:id="182718812">
                      <w:marLeft w:val="0"/>
                      <w:marRight w:val="0"/>
                      <w:marTop w:val="0"/>
                      <w:marBottom w:val="0"/>
                      <w:divBdr>
                        <w:top w:val="none" w:sz="0" w:space="0" w:color="auto"/>
                        <w:left w:val="none" w:sz="0" w:space="0" w:color="auto"/>
                        <w:bottom w:val="none" w:sz="0" w:space="0" w:color="auto"/>
                        <w:right w:val="none" w:sz="0" w:space="0" w:color="auto"/>
                      </w:divBdr>
                    </w:div>
                  </w:divsChild>
                </w:div>
                <w:div w:id="1588080752">
                  <w:marLeft w:val="0"/>
                  <w:marRight w:val="0"/>
                  <w:marTop w:val="0"/>
                  <w:marBottom w:val="0"/>
                  <w:divBdr>
                    <w:top w:val="none" w:sz="0" w:space="0" w:color="auto"/>
                    <w:left w:val="none" w:sz="0" w:space="0" w:color="auto"/>
                    <w:bottom w:val="none" w:sz="0" w:space="0" w:color="auto"/>
                    <w:right w:val="none" w:sz="0" w:space="0" w:color="auto"/>
                  </w:divBdr>
                  <w:divsChild>
                    <w:div w:id="603532807">
                      <w:marLeft w:val="0"/>
                      <w:marRight w:val="0"/>
                      <w:marTop w:val="0"/>
                      <w:marBottom w:val="0"/>
                      <w:divBdr>
                        <w:top w:val="none" w:sz="0" w:space="0" w:color="auto"/>
                        <w:left w:val="none" w:sz="0" w:space="0" w:color="auto"/>
                        <w:bottom w:val="none" w:sz="0" w:space="0" w:color="auto"/>
                        <w:right w:val="none" w:sz="0" w:space="0" w:color="auto"/>
                      </w:divBdr>
                    </w:div>
                  </w:divsChild>
                </w:div>
                <w:div w:id="958757085">
                  <w:marLeft w:val="0"/>
                  <w:marRight w:val="0"/>
                  <w:marTop w:val="0"/>
                  <w:marBottom w:val="0"/>
                  <w:divBdr>
                    <w:top w:val="none" w:sz="0" w:space="0" w:color="auto"/>
                    <w:left w:val="none" w:sz="0" w:space="0" w:color="auto"/>
                    <w:bottom w:val="none" w:sz="0" w:space="0" w:color="auto"/>
                    <w:right w:val="none" w:sz="0" w:space="0" w:color="auto"/>
                  </w:divBdr>
                  <w:divsChild>
                    <w:div w:id="1023093688">
                      <w:marLeft w:val="0"/>
                      <w:marRight w:val="0"/>
                      <w:marTop w:val="0"/>
                      <w:marBottom w:val="0"/>
                      <w:divBdr>
                        <w:top w:val="none" w:sz="0" w:space="0" w:color="auto"/>
                        <w:left w:val="none" w:sz="0" w:space="0" w:color="auto"/>
                        <w:bottom w:val="none" w:sz="0" w:space="0" w:color="auto"/>
                        <w:right w:val="none" w:sz="0" w:space="0" w:color="auto"/>
                      </w:divBdr>
                    </w:div>
                  </w:divsChild>
                </w:div>
                <w:div w:id="664357404">
                  <w:marLeft w:val="0"/>
                  <w:marRight w:val="0"/>
                  <w:marTop w:val="0"/>
                  <w:marBottom w:val="0"/>
                  <w:divBdr>
                    <w:top w:val="none" w:sz="0" w:space="0" w:color="auto"/>
                    <w:left w:val="none" w:sz="0" w:space="0" w:color="auto"/>
                    <w:bottom w:val="none" w:sz="0" w:space="0" w:color="auto"/>
                    <w:right w:val="none" w:sz="0" w:space="0" w:color="auto"/>
                  </w:divBdr>
                  <w:divsChild>
                    <w:div w:id="1798136143">
                      <w:marLeft w:val="0"/>
                      <w:marRight w:val="0"/>
                      <w:marTop w:val="0"/>
                      <w:marBottom w:val="0"/>
                      <w:divBdr>
                        <w:top w:val="none" w:sz="0" w:space="0" w:color="auto"/>
                        <w:left w:val="none" w:sz="0" w:space="0" w:color="auto"/>
                        <w:bottom w:val="none" w:sz="0" w:space="0" w:color="auto"/>
                        <w:right w:val="none" w:sz="0" w:space="0" w:color="auto"/>
                      </w:divBdr>
                    </w:div>
                  </w:divsChild>
                </w:div>
                <w:div w:id="1568606513">
                  <w:marLeft w:val="0"/>
                  <w:marRight w:val="0"/>
                  <w:marTop w:val="0"/>
                  <w:marBottom w:val="0"/>
                  <w:divBdr>
                    <w:top w:val="none" w:sz="0" w:space="0" w:color="auto"/>
                    <w:left w:val="none" w:sz="0" w:space="0" w:color="auto"/>
                    <w:bottom w:val="none" w:sz="0" w:space="0" w:color="auto"/>
                    <w:right w:val="none" w:sz="0" w:space="0" w:color="auto"/>
                  </w:divBdr>
                  <w:divsChild>
                    <w:div w:id="1049064929">
                      <w:marLeft w:val="0"/>
                      <w:marRight w:val="0"/>
                      <w:marTop w:val="0"/>
                      <w:marBottom w:val="0"/>
                      <w:divBdr>
                        <w:top w:val="none" w:sz="0" w:space="0" w:color="auto"/>
                        <w:left w:val="none" w:sz="0" w:space="0" w:color="auto"/>
                        <w:bottom w:val="none" w:sz="0" w:space="0" w:color="auto"/>
                        <w:right w:val="none" w:sz="0" w:space="0" w:color="auto"/>
                      </w:divBdr>
                    </w:div>
                  </w:divsChild>
                </w:div>
                <w:div w:id="198982315">
                  <w:marLeft w:val="0"/>
                  <w:marRight w:val="0"/>
                  <w:marTop w:val="0"/>
                  <w:marBottom w:val="0"/>
                  <w:divBdr>
                    <w:top w:val="none" w:sz="0" w:space="0" w:color="auto"/>
                    <w:left w:val="none" w:sz="0" w:space="0" w:color="auto"/>
                    <w:bottom w:val="none" w:sz="0" w:space="0" w:color="auto"/>
                    <w:right w:val="none" w:sz="0" w:space="0" w:color="auto"/>
                  </w:divBdr>
                  <w:divsChild>
                    <w:div w:id="428550507">
                      <w:marLeft w:val="0"/>
                      <w:marRight w:val="0"/>
                      <w:marTop w:val="0"/>
                      <w:marBottom w:val="0"/>
                      <w:divBdr>
                        <w:top w:val="none" w:sz="0" w:space="0" w:color="auto"/>
                        <w:left w:val="none" w:sz="0" w:space="0" w:color="auto"/>
                        <w:bottom w:val="none" w:sz="0" w:space="0" w:color="auto"/>
                        <w:right w:val="none" w:sz="0" w:space="0" w:color="auto"/>
                      </w:divBdr>
                    </w:div>
                  </w:divsChild>
                </w:div>
                <w:div w:id="1551304674">
                  <w:marLeft w:val="0"/>
                  <w:marRight w:val="0"/>
                  <w:marTop w:val="0"/>
                  <w:marBottom w:val="0"/>
                  <w:divBdr>
                    <w:top w:val="none" w:sz="0" w:space="0" w:color="auto"/>
                    <w:left w:val="none" w:sz="0" w:space="0" w:color="auto"/>
                    <w:bottom w:val="none" w:sz="0" w:space="0" w:color="auto"/>
                    <w:right w:val="none" w:sz="0" w:space="0" w:color="auto"/>
                  </w:divBdr>
                  <w:divsChild>
                    <w:div w:id="1107115185">
                      <w:marLeft w:val="0"/>
                      <w:marRight w:val="0"/>
                      <w:marTop w:val="0"/>
                      <w:marBottom w:val="0"/>
                      <w:divBdr>
                        <w:top w:val="none" w:sz="0" w:space="0" w:color="auto"/>
                        <w:left w:val="none" w:sz="0" w:space="0" w:color="auto"/>
                        <w:bottom w:val="none" w:sz="0" w:space="0" w:color="auto"/>
                        <w:right w:val="none" w:sz="0" w:space="0" w:color="auto"/>
                      </w:divBdr>
                    </w:div>
                  </w:divsChild>
                </w:div>
                <w:div w:id="2083286305">
                  <w:marLeft w:val="0"/>
                  <w:marRight w:val="0"/>
                  <w:marTop w:val="0"/>
                  <w:marBottom w:val="0"/>
                  <w:divBdr>
                    <w:top w:val="none" w:sz="0" w:space="0" w:color="auto"/>
                    <w:left w:val="none" w:sz="0" w:space="0" w:color="auto"/>
                    <w:bottom w:val="none" w:sz="0" w:space="0" w:color="auto"/>
                    <w:right w:val="none" w:sz="0" w:space="0" w:color="auto"/>
                  </w:divBdr>
                  <w:divsChild>
                    <w:div w:id="1897857888">
                      <w:marLeft w:val="0"/>
                      <w:marRight w:val="0"/>
                      <w:marTop w:val="0"/>
                      <w:marBottom w:val="0"/>
                      <w:divBdr>
                        <w:top w:val="none" w:sz="0" w:space="0" w:color="auto"/>
                        <w:left w:val="none" w:sz="0" w:space="0" w:color="auto"/>
                        <w:bottom w:val="none" w:sz="0" w:space="0" w:color="auto"/>
                        <w:right w:val="none" w:sz="0" w:space="0" w:color="auto"/>
                      </w:divBdr>
                    </w:div>
                  </w:divsChild>
                </w:div>
                <w:div w:id="1058940071">
                  <w:marLeft w:val="0"/>
                  <w:marRight w:val="0"/>
                  <w:marTop w:val="0"/>
                  <w:marBottom w:val="0"/>
                  <w:divBdr>
                    <w:top w:val="none" w:sz="0" w:space="0" w:color="auto"/>
                    <w:left w:val="none" w:sz="0" w:space="0" w:color="auto"/>
                    <w:bottom w:val="none" w:sz="0" w:space="0" w:color="auto"/>
                    <w:right w:val="none" w:sz="0" w:space="0" w:color="auto"/>
                  </w:divBdr>
                  <w:divsChild>
                    <w:div w:id="587613891">
                      <w:marLeft w:val="0"/>
                      <w:marRight w:val="0"/>
                      <w:marTop w:val="0"/>
                      <w:marBottom w:val="0"/>
                      <w:divBdr>
                        <w:top w:val="none" w:sz="0" w:space="0" w:color="auto"/>
                        <w:left w:val="none" w:sz="0" w:space="0" w:color="auto"/>
                        <w:bottom w:val="none" w:sz="0" w:space="0" w:color="auto"/>
                        <w:right w:val="none" w:sz="0" w:space="0" w:color="auto"/>
                      </w:divBdr>
                    </w:div>
                  </w:divsChild>
                </w:div>
                <w:div w:id="1304385432">
                  <w:marLeft w:val="0"/>
                  <w:marRight w:val="0"/>
                  <w:marTop w:val="0"/>
                  <w:marBottom w:val="0"/>
                  <w:divBdr>
                    <w:top w:val="none" w:sz="0" w:space="0" w:color="auto"/>
                    <w:left w:val="none" w:sz="0" w:space="0" w:color="auto"/>
                    <w:bottom w:val="none" w:sz="0" w:space="0" w:color="auto"/>
                    <w:right w:val="none" w:sz="0" w:space="0" w:color="auto"/>
                  </w:divBdr>
                  <w:divsChild>
                    <w:div w:id="842235121">
                      <w:marLeft w:val="0"/>
                      <w:marRight w:val="0"/>
                      <w:marTop w:val="0"/>
                      <w:marBottom w:val="0"/>
                      <w:divBdr>
                        <w:top w:val="none" w:sz="0" w:space="0" w:color="auto"/>
                        <w:left w:val="none" w:sz="0" w:space="0" w:color="auto"/>
                        <w:bottom w:val="none" w:sz="0" w:space="0" w:color="auto"/>
                        <w:right w:val="none" w:sz="0" w:space="0" w:color="auto"/>
                      </w:divBdr>
                    </w:div>
                  </w:divsChild>
                </w:div>
                <w:div w:id="1554003653">
                  <w:marLeft w:val="0"/>
                  <w:marRight w:val="0"/>
                  <w:marTop w:val="0"/>
                  <w:marBottom w:val="0"/>
                  <w:divBdr>
                    <w:top w:val="none" w:sz="0" w:space="0" w:color="auto"/>
                    <w:left w:val="none" w:sz="0" w:space="0" w:color="auto"/>
                    <w:bottom w:val="none" w:sz="0" w:space="0" w:color="auto"/>
                    <w:right w:val="none" w:sz="0" w:space="0" w:color="auto"/>
                  </w:divBdr>
                  <w:divsChild>
                    <w:div w:id="312416517">
                      <w:marLeft w:val="0"/>
                      <w:marRight w:val="0"/>
                      <w:marTop w:val="0"/>
                      <w:marBottom w:val="0"/>
                      <w:divBdr>
                        <w:top w:val="none" w:sz="0" w:space="0" w:color="auto"/>
                        <w:left w:val="none" w:sz="0" w:space="0" w:color="auto"/>
                        <w:bottom w:val="none" w:sz="0" w:space="0" w:color="auto"/>
                        <w:right w:val="none" w:sz="0" w:space="0" w:color="auto"/>
                      </w:divBdr>
                    </w:div>
                  </w:divsChild>
                </w:div>
                <w:div w:id="1131748512">
                  <w:marLeft w:val="0"/>
                  <w:marRight w:val="0"/>
                  <w:marTop w:val="0"/>
                  <w:marBottom w:val="0"/>
                  <w:divBdr>
                    <w:top w:val="none" w:sz="0" w:space="0" w:color="auto"/>
                    <w:left w:val="none" w:sz="0" w:space="0" w:color="auto"/>
                    <w:bottom w:val="none" w:sz="0" w:space="0" w:color="auto"/>
                    <w:right w:val="none" w:sz="0" w:space="0" w:color="auto"/>
                  </w:divBdr>
                  <w:divsChild>
                    <w:div w:id="940838691">
                      <w:marLeft w:val="0"/>
                      <w:marRight w:val="0"/>
                      <w:marTop w:val="0"/>
                      <w:marBottom w:val="0"/>
                      <w:divBdr>
                        <w:top w:val="none" w:sz="0" w:space="0" w:color="auto"/>
                        <w:left w:val="none" w:sz="0" w:space="0" w:color="auto"/>
                        <w:bottom w:val="none" w:sz="0" w:space="0" w:color="auto"/>
                        <w:right w:val="none" w:sz="0" w:space="0" w:color="auto"/>
                      </w:divBdr>
                    </w:div>
                  </w:divsChild>
                </w:div>
                <w:div w:id="1417556825">
                  <w:marLeft w:val="0"/>
                  <w:marRight w:val="0"/>
                  <w:marTop w:val="0"/>
                  <w:marBottom w:val="0"/>
                  <w:divBdr>
                    <w:top w:val="none" w:sz="0" w:space="0" w:color="auto"/>
                    <w:left w:val="none" w:sz="0" w:space="0" w:color="auto"/>
                    <w:bottom w:val="none" w:sz="0" w:space="0" w:color="auto"/>
                    <w:right w:val="none" w:sz="0" w:space="0" w:color="auto"/>
                  </w:divBdr>
                  <w:divsChild>
                    <w:div w:id="1094597451">
                      <w:marLeft w:val="0"/>
                      <w:marRight w:val="0"/>
                      <w:marTop w:val="0"/>
                      <w:marBottom w:val="0"/>
                      <w:divBdr>
                        <w:top w:val="none" w:sz="0" w:space="0" w:color="auto"/>
                        <w:left w:val="none" w:sz="0" w:space="0" w:color="auto"/>
                        <w:bottom w:val="none" w:sz="0" w:space="0" w:color="auto"/>
                        <w:right w:val="none" w:sz="0" w:space="0" w:color="auto"/>
                      </w:divBdr>
                    </w:div>
                  </w:divsChild>
                </w:div>
                <w:div w:id="446432858">
                  <w:marLeft w:val="0"/>
                  <w:marRight w:val="0"/>
                  <w:marTop w:val="0"/>
                  <w:marBottom w:val="0"/>
                  <w:divBdr>
                    <w:top w:val="none" w:sz="0" w:space="0" w:color="auto"/>
                    <w:left w:val="none" w:sz="0" w:space="0" w:color="auto"/>
                    <w:bottom w:val="none" w:sz="0" w:space="0" w:color="auto"/>
                    <w:right w:val="none" w:sz="0" w:space="0" w:color="auto"/>
                  </w:divBdr>
                  <w:divsChild>
                    <w:div w:id="66924985">
                      <w:marLeft w:val="0"/>
                      <w:marRight w:val="0"/>
                      <w:marTop w:val="0"/>
                      <w:marBottom w:val="0"/>
                      <w:divBdr>
                        <w:top w:val="none" w:sz="0" w:space="0" w:color="auto"/>
                        <w:left w:val="none" w:sz="0" w:space="0" w:color="auto"/>
                        <w:bottom w:val="none" w:sz="0" w:space="0" w:color="auto"/>
                        <w:right w:val="none" w:sz="0" w:space="0" w:color="auto"/>
                      </w:divBdr>
                    </w:div>
                  </w:divsChild>
                </w:div>
                <w:div w:id="768045551">
                  <w:marLeft w:val="0"/>
                  <w:marRight w:val="0"/>
                  <w:marTop w:val="0"/>
                  <w:marBottom w:val="0"/>
                  <w:divBdr>
                    <w:top w:val="none" w:sz="0" w:space="0" w:color="auto"/>
                    <w:left w:val="none" w:sz="0" w:space="0" w:color="auto"/>
                    <w:bottom w:val="none" w:sz="0" w:space="0" w:color="auto"/>
                    <w:right w:val="none" w:sz="0" w:space="0" w:color="auto"/>
                  </w:divBdr>
                  <w:divsChild>
                    <w:div w:id="1185440516">
                      <w:marLeft w:val="0"/>
                      <w:marRight w:val="0"/>
                      <w:marTop w:val="0"/>
                      <w:marBottom w:val="0"/>
                      <w:divBdr>
                        <w:top w:val="none" w:sz="0" w:space="0" w:color="auto"/>
                        <w:left w:val="none" w:sz="0" w:space="0" w:color="auto"/>
                        <w:bottom w:val="none" w:sz="0" w:space="0" w:color="auto"/>
                        <w:right w:val="none" w:sz="0" w:space="0" w:color="auto"/>
                      </w:divBdr>
                    </w:div>
                  </w:divsChild>
                </w:div>
                <w:div w:id="985550131">
                  <w:marLeft w:val="0"/>
                  <w:marRight w:val="0"/>
                  <w:marTop w:val="0"/>
                  <w:marBottom w:val="0"/>
                  <w:divBdr>
                    <w:top w:val="none" w:sz="0" w:space="0" w:color="auto"/>
                    <w:left w:val="none" w:sz="0" w:space="0" w:color="auto"/>
                    <w:bottom w:val="none" w:sz="0" w:space="0" w:color="auto"/>
                    <w:right w:val="none" w:sz="0" w:space="0" w:color="auto"/>
                  </w:divBdr>
                  <w:divsChild>
                    <w:div w:id="200559659">
                      <w:marLeft w:val="0"/>
                      <w:marRight w:val="0"/>
                      <w:marTop w:val="0"/>
                      <w:marBottom w:val="0"/>
                      <w:divBdr>
                        <w:top w:val="none" w:sz="0" w:space="0" w:color="auto"/>
                        <w:left w:val="none" w:sz="0" w:space="0" w:color="auto"/>
                        <w:bottom w:val="none" w:sz="0" w:space="0" w:color="auto"/>
                        <w:right w:val="none" w:sz="0" w:space="0" w:color="auto"/>
                      </w:divBdr>
                    </w:div>
                  </w:divsChild>
                </w:div>
                <w:div w:id="818421834">
                  <w:marLeft w:val="0"/>
                  <w:marRight w:val="0"/>
                  <w:marTop w:val="0"/>
                  <w:marBottom w:val="0"/>
                  <w:divBdr>
                    <w:top w:val="none" w:sz="0" w:space="0" w:color="auto"/>
                    <w:left w:val="none" w:sz="0" w:space="0" w:color="auto"/>
                    <w:bottom w:val="none" w:sz="0" w:space="0" w:color="auto"/>
                    <w:right w:val="none" w:sz="0" w:space="0" w:color="auto"/>
                  </w:divBdr>
                  <w:divsChild>
                    <w:div w:id="964192398">
                      <w:marLeft w:val="0"/>
                      <w:marRight w:val="0"/>
                      <w:marTop w:val="0"/>
                      <w:marBottom w:val="0"/>
                      <w:divBdr>
                        <w:top w:val="none" w:sz="0" w:space="0" w:color="auto"/>
                        <w:left w:val="none" w:sz="0" w:space="0" w:color="auto"/>
                        <w:bottom w:val="none" w:sz="0" w:space="0" w:color="auto"/>
                        <w:right w:val="none" w:sz="0" w:space="0" w:color="auto"/>
                      </w:divBdr>
                    </w:div>
                  </w:divsChild>
                </w:div>
                <w:div w:id="724062134">
                  <w:marLeft w:val="0"/>
                  <w:marRight w:val="0"/>
                  <w:marTop w:val="0"/>
                  <w:marBottom w:val="0"/>
                  <w:divBdr>
                    <w:top w:val="none" w:sz="0" w:space="0" w:color="auto"/>
                    <w:left w:val="none" w:sz="0" w:space="0" w:color="auto"/>
                    <w:bottom w:val="none" w:sz="0" w:space="0" w:color="auto"/>
                    <w:right w:val="none" w:sz="0" w:space="0" w:color="auto"/>
                  </w:divBdr>
                  <w:divsChild>
                    <w:div w:id="1027945827">
                      <w:marLeft w:val="0"/>
                      <w:marRight w:val="0"/>
                      <w:marTop w:val="0"/>
                      <w:marBottom w:val="0"/>
                      <w:divBdr>
                        <w:top w:val="none" w:sz="0" w:space="0" w:color="auto"/>
                        <w:left w:val="none" w:sz="0" w:space="0" w:color="auto"/>
                        <w:bottom w:val="none" w:sz="0" w:space="0" w:color="auto"/>
                        <w:right w:val="none" w:sz="0" w:space="0" w:color="auto"/>
                      </w:divBdr>
                    </w:div>
                  </w:divsChild>
                </w:div>
                <w:div w:id="95102344">
                  <w:marLeft w:val="0"/>
                  <w:marRight w:val="0"/>
                  <w:marTop w:val="0"/>
                  <w:marBottom w:val="0"/>
                  <w:divBdr>
                    <w:top w:val="none" w:sz="0" w:space="0" w:color="auto"/>
                    <w:left w:val="none" w:sz="0" w:space="0" w:color="auto"/>
                    <w:bottom w:val="none" w:sz="0" w:space="0" w:color="auto"/>
                    <w:right w:val="none" w:sz="0" w:space="0" w:color="auto"/>
                  </w:divBdr>
                  <w:divsChild>
                    <w:div w:id="367339219">
                      <w:marLeft w:val="0"/>
                      <w:marRight w:val="0"/>
                      <w:marTop w:val="0"/>
                      <w:marBottom w:val="0"/>
                      <w:divBdr>
                        <w:top w:val="none" w:sz="0" w:space="0" w:color="auto"/>
                        <w:left w:val="none" w:sz="0" w:space="0" w:color="auto"/>
                        <w:bottom w:val="none" w:sz="0" w:space="0" w:color="auto"/>
                        <w:right w:val="none" w:sz="0" w:space="0" w:color="auto"/>
                      </w:divBdr>
                    </w:div>
                  </w:divsChild>
                </w:div>
                <w:div w:id="770585632">
                  <w:marLeft w:val="0"/>
                  <w:marRight w:val="0"/>
                  <w:marTop w:val="0"/>
                  <w:marBottom w:val="0"/>
                  <w:divBdr>
                    <w:top w:val="none" w:sz="0" w:space="0" w:color="auto"/>
                    <w:left w:val="none" w:sz="0" w:space="0" w:color="auto"/>
                    <w:bottom w:val="none" w:sz="0" w:space="0" w:color="auto"/>
                    <w:right w:val="none" w:sz="0" w:space="0" w:color="auto"/>
                  </w:divBdr>
                  <w:divsChild>
                    <w:div w:id="1733693122">
                      <w:marLeft w:val="0"/>
                      <w:marRight w:val="0"/>
                      <w:marTop w:val="0"/>
                      <w:marBottom w:val="0"/>
                      <w:divBdr>
                        <w:top w:val="none" w:sz="0" w:space="0" w:color="auto"/>
                        <w:left w:val="none" w:sz="0" w:space="0" w:color="auto"/>
                        <w:bottom w:val="none" w:sz="0" w:space="0" w:color="auto"/>
                        <w:right w:val="none" w:sz="0" w:space="0" w:color="auto"/>
                      </w:divBdr>
                    </w:div>
                  </w:divsChild>
                </w:div>
                <w:div w:id="1684697654">
                  <w:marLeft w:val="0"/>
                  <w:marRight w:val="0"/>
                  <w:marTop w:val="0"/>
                  <w:marBottom w:val="0"/>
                  <w:divBdr>
                    <w:top w:val="none" w:sz="0" w:space="0" w:color="auto"/>
                    <w:left w:val="none" w:sz="0" w:space="0" w:color="auto"/>
                    <w:bottom w:val="none" w:sz="0" w:space="0" w:color="auto"/>
                    <w:right w:val="none" w:sz="0" w:space="0" w:color="auto"/>
                  </w:divBdr>
                  <w:divsChild>
                    <w:div w:id="1441755220">
                      <w:marLeft w:val="0"/>
                      <w:marRight w:val="0"/>
                      <w:marTop w:val="0"/>
                      <w:marBottom w:val="0"/>
                      <w:divBdr>
                        <w:top w:val="none" w:sz="0" w:space="0" w:color="auto"/>
                        <w:left w:val="none" w:sz="0" w:space="0" w:color="auto"/>
                        <w:bottom w:val="none" w:sz="0" w:space="0" w:color="auto"/>
                        <w:right w:val="none" w:sz="0" w:space="0" w:color="auto"/>
                      </w:divBdr>
                    </w:div>
                  </w:divsChild>
                </w:div>
                <w:div w:id="2062705200">
                  <w:marLeft w:val="0"/>
                  <w:marRight w:val="0"/>
                  <w:marTop w:val="0"/>
                  <w:marBottom w:val="0"/>
                  <w:divBdr>
                    <w:top w:val="none" w:sz="0" w:space="0" w:color="auto"/>
                    <w:left w:val="none" w:sz="0" w:space="0" w:color="auto"/>
                    <w:bottom w:val="none" w:sz="0" w:space="0" w:color="auto"/>
                    <w:right w:val="none" w:sz="0" w:space="0" w:color="auto"/>
                  </w:divBdr>
                  <w:divsChild>
                    <w:div w:id="493035475">
                      <w:marLeft w:val="0"/>
                      <w:marRight w:val="0"/>
                      <w:marTop w:val="0"/>
                      <w:marBottom w:val="0"/>
                      <w:divBdr>
                        <w:top w:val="none" w:sz="0" w:space="0" w:color="auto"/>
                        <w:left w:val="none" w:sz="0" w:space="0" w:color="auto"/>
                        <w:bottom w:val="none" w:sz="0" w:space="0" w:color="auto"/>
                        <w:right w:val="none" w:sz="0" w:space="0" w:color="auto"/>
                      </w:divBdr>
                    </w:div>
                  </w:divsChild>
                </w:div>
                <w:div w:id="1901944191">
                  <w:marLeft w:val="0"/>
                  <w:marRight w:val="0"/>
                  <w:marTop w:val="0"/>
                  <w:marBottom w:val="0"/>
                  <w:divBdr>
                    <w:top w:val="none" w:sz="0" w:space="0" w:color="auto"/>
                    <w:left w:val="none" w:sz="0" w:space="0" w:color="auto"/>
                    <w:bottom w:val="none" w:sz="0" w:space="0" w:color="auto"/>
                    <w:right w:val="none" w:sz="0" w:space="0" w:color="auto"/>
                  </w:divBdr>
                  <w:divsChild>
                    <w:div w:id="1861773756">
                      <w:marLeft w:val="0"/>
                      <w:marRight w:val="0"/>
                      <w:marTop w:val="0"/>
                      <w:marBottom w:val="0"/>
                      <w:divBdr>
                        <w:top w:val="none" w:sz="0" w:space="0" w:color="auto"/>
                        <w:left w:val="none" w:sz="0" w:space="0" w:color="auto"/>
                        <w:bottom w:val="none" w:sz="0" w:space="0" w:color="auto"/>
                        <w:right w:val="none" w:sz="0" w:space="0" w:color="auto"/>
                      </w:divBdr>
                    </w:div>
                  </w:divsChild>
                </w:div>
                <w:div w:id="798374139">
                  <w:marLeft w:val="0"/>
                  <w:marRight w:val="0"/>
                  <w:marTop w:val="0"/>
                  <w:marBottom w:val="0"/>
                  <w:divBdr>
                    <w:top w:val="none" w:sz="0" w:space="0" w:color="auto"/>
                    <w:left w:val="none" w:sz="0" w:space="0" w:color="auto"/>
                    <w:bottom w:val="none" w:sz="0" w:space="0" w:color="auto"/>
                    <w:right w:val="none" w:sz="0" w:space="0" w:color="auto"/>
                  </w:divBdr>
                  <w:divsChild>
                    <w:div w:id="16868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491776">
      <w:bodyDiv w:val="1"/>
      <w:marLeft w:val="0"/>
      <w:marRight w:val="0"/>
      <w:marTop w:val="0"/>
      <w:marBottom w:val="0"/>
      <w:divBdr>
        <w:top w:val="none" w:sz="0" w:space="0" w:color="auto"/>
        <w:left w:val="none" w:sz="0" w:space="0" w:color="auto"/>
        <w:bottom w:val="none" w:sz="0" w:space="0" w:color="auto"/>
        <w:right w:val="none" w:sz="0" w:space="0" w:color="auto"/>
      </w:divBdr>
    </w:div>
    <w:div w:id="1661302387">
      <w:bodyDiv w:val="1"/>
      <w:marLeft w:val="0"/>
      <w:marRight w:val="0"/>
      <w:marTop w:val="0"/>
      <w:marBottom w:val="0"/>
      <w:divBdr>
        <w:top w:val="none" w:sz="0" w:space="0" w:color="auto"/>
        <w:left w:val="none" w:sz="0" w:space="0" w:color="auto"/>
        <w:bottom w:val="none" w:sz="0" w:space="0" w:color="auto"/>
        <w:right w:val="none" w:sz="0" w:space="0" w:color="auto"/>
      </w:divBdr>
    </w:div>
    <w:div w:id="1741563597">
      <w:bodyDiv w:val="1"/>
      <w:marLeft w:val="0"/>
      <w:marRight w:val="0"/>
      <w:marTop w:val="0"/>
      <w:marBottom w:val="0"/>
      <w:divBdr>
        <w:top w:val="none" w:sz="0" w:space="0" w:color="auto"/>
        <w:left w:val="none" w:sz="0" w:space="0" w:color="auto"/>
        <w:bottom w:val="none" w:sz="0" w:space="0" w:color="auto"/>
        <w:right w:val="none" w:sz="0" w:space="0" w:color="auto"/>
      </w:divBdr>
    </w:div>
    <w:div w:id="1810703470">
      <w:bodyDiv w:val="1"/>
      <w:marLeft w:val="0"/>
      <w:marRight w:val="0"/>
      <w:marTop w:val="0"/>
      <w:marBottom w:val="0"/>
      <w:divBdr>
        <w:top w:val="none" w:sz="0" w:space="0" w:color="auto"/>
        <w:left w:val="none" w:sz="0" w:space="0" w:color="auto"/>
        <w:bottom w:val="none" w:sz="0" w:space="0" w:color="auto"/>
        <w:right w:val="none" w:sz="0" w:space="0" w:color="auto"/>
      </w:divBdr>
    </w:div>
    <w:div w:id="1901135930">
      <w:bodyDiv w:val="1"/>
      <w:marLeft w:val="0"/>
      <w:marRight w:val="0"/>
      <w:marTop w:val="0"/>
      <w:marBottom w:val="0"/>
      <w:divBdr>
        <w:top w:val="none" w:sz="0" w:space="0" w:color="auto"/>
        <w:left w:val="none" w:sz="0" w:space="0" w:color="auto"/>
        <w:bottom w:val="none" w:sz="0" w:space="0" w:color="auto"/>
        <w:right w:val="none" w:sz="0" w:space="0" w:color="auto"/>
      </w:divBdr>
    </w:div>
    <w:div w:id="1913274767">
      <w:bodyDiv w:val="1"/>
      <w:marLeft w:val="0"/>
      <w:marRight w:val="0"/>
      <w:marTop w:val="0"/>
      <w:marBottom w:val="0"/>
      <w:divBdr>
        <w:top w:val="none" w:sz="0" w:space="0" w:color="auto"/>
        <w:left w:val="none" w:sz="0" w:space="0" w:color="auto"/>
        <w:bottom w:val="none" w:sz="0" w:space="0" w:color="auto"/>
        <w:right w:val="none" w:sz="0" w:space="0" w:color="auto"/>
      </w:divBdr>
    </w:div>
    <w:div w:id="1933976412">
      <w:bodyDiv w:val="1"/>
      <w:marLeft w:val="0"/>
      <w:marRight w:val="0"/>
      <w:marTop w:val="0"/>
      <w:marBottom w:val="0"/>
      <w:divBdr>
        <w:top w:val="none" w:sz="0" w:space="0" w:color="auto"/>
        <w:left w:val="none" w:sz="0" w:space="0" w:color="auto"/>
        <w:bottom w:val="none" w:sz="0" w:space="0" w:color="auto"/>
        <w:right w:val="none" w:sz="0" w:space="0" w:color="auto"/>
      </w:divBdr>
    </w:div>
    <w:div w:id="1949893306">
      <w:bodyDiv w:val="1"/>
      <w:marLeft w:val="0"/>
      <w:marRight w:val="0"/>
      <w:marTop w:val="0"/>
      <w:marBottom w:val="0"/>
      <w:divBdr>
        <w:top w:val="none" w:sz="0" w:space="0" w:color="auto"/>
        <w:left w:val="none" w:sz="0" w:space="0" w:color="auto"/>
        <w:bottom w:val="none" w:sz="0" w:space="0" w:color="auto"/>
        <w:right w:val="none" w:sz="0" w:space="0" w:color="auto"/>
      </w:divBdr>
    </w:div>
    <w:div w:id="1981685690">
      <w:bodyDiv w:val="1"/>
      <w:marLeft w:val="0"/>
      <w:marRight w:val="0"/>
      <w:marTop w:val="0"/>
      <w:marBottom w:val="0"/>
      <w:divBdr>
        <w:top w:val="none" w:sz="0" w:space="0" w:color="auto"/>
        <w:left w:val="none" w:sz="0" w:space="0" w:color="auto"/>
        <w:bottom w:val="none" w:sz="0" w:space="0" w:color="auto"/>
        <w:right w:val="none" w:sz="0" w:space="0" w:color="auto"/>
      </w:divBdr>
    </w:div>
    <w:div w:id="2093700486">
      <w:bodyDiv w:val="1"/>
      <w:marLeft w:val="0"/>
      <w:marRight w:val="0"/>
      <w:marTop w:val="0"/>
      <w:marBottom w:val="0"/>
      <w:divBdr>
        <w:top w:val="none" w:sz="0" w:space="0" w:color="auto"/>
        <w:left w:val="none" w:sz="0" w:space="0" w:color="auto"/>
        <w:bottom w:val="none" w:sz="0" w:space="0" w:color="auto"/>
        <w:right w:val="none" w:sz="0" w:space="0" w:color="auto"/>
      </w:divBdr>
    </w:div>
    <w:div w:id="2098363668">
      <w:bodyDiv w:val="1"/>
      <w:marLeft w:val="0"/>
      <w:marRight w:val="0"/>
      <w:marTop w:val="0"/>
      <w:marBottom w:val="0"/>
      <w:divBdr>
        <w:top w:val="none" w:sz="0" w:space="0" w:color="auto"/>
        <w:left w:val="none" w:sz="0" w:space="0" w:color="auto"/>
        <w:bottom w:val="none" w:sz="0" w:space="0" w:color="auto"/>
        <w:right w:val="none" w:sz="0" w:space="0" w:color="auto"/>
      </w:divBdr>
    </w:div>
    <w:div w:id="2115635953">
      <w:bodyDiv w:val="1"/>
      <w:marLeft w:val="0"/>
      <w:marRight w:val="0"/>
      <w:marTop w:val="0"/>
      <w:marBottom w:val="0"/>
      <w:divBdr>
        <w:top w:val="none" w:sz="0" w:space="0" w:color="auto"/>
        <w:left w:val="none" w:sz="0" w:space="0" w:color="auto"/>
        <w:bottom w:val="none" w:sz="0" w:space="0" w:color="auto"/>
        <w:right w:val="none" w:sz="0" w:space="0" w:color="auto"/>
      </w:divBdr>
    </w:div>
    <w:div w:id="212437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header" Target="header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8.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customXml" Target="../customXml/item10.xml"/><Relationship Id="rId19" Type="http://schemas.openxmlformats.org/officeDocument/2006/relationships/header" Target="header2.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researchgate.net/publication/349769809_A_Net-Zero_Carbon_Roadmap_for_Edinburgh" TargetMode="External"/><Relationship Id="rId13" Type="http://schemas.openxmlformats.org/officeDocument/2006/relationships/hyperlink" Target="https://www2.sepa.org.uk/frmstrategies/forth-estuary.html" TargetMode="External"/><Relationship Id="rId18" Type="http://schemas.openxmlformats.org/officeDocument/2006/relationships/hyperlink" Target="https://www.nature.scot/sites/default/files/2017-06/The%20Second%20State%20of%20Scotland%27s%20Greenspace%20Report%20-%20greenspace%20scotland%20-%20Jan%202012.pdf" TargetMode="External"/><Relationship Id="rId3" Type="http://schemas.openxmlformats.org/officeDocument/2006/relationships/hyperlink" Target="https://www.edinburgh.gov.uk/downloads/download/13734/sustainable-energy-action-plan" TargetMode="External"/><Relationship Id="rId21" Type="http://schemas.openxmlformats.org/officeDocument/2006/relationships/hyperlink" Target="https://www.nrscotland.gov.uk/files/statistics/council-area-data-sheets/city-of-edinburgh-council-profile.html" TargetMode="External"/><Relationship Id="rId7" Type="http://schemas.openxmlformats.org/officeDocument/2006/relationships/hyperlink" Target="https://www.edinburgh.gov.uk/downloads/file/24705/edinburgh-adapts-our-vision-2016-to-2050" TargetMode="External"/><Relationship Id="rId12" Type="http://schemas.openxmlformats.org/officeDocument/2006/relationships/hyperlink" Target="https://www.gov.scot/publications/maps-of-vacant-and-derelict-land-in-edinburgh/" TargetMode="External"/><Relationship Id="rId17" Type="http://schemas.openxmlformats.org/officeDocument/2006/relationships/hyperlink" Target="https://www.edinburgh.gov.uk/downloads/file/22616/open-space-2021" TargetMode="External"/><Relationship Id="rId2" Type="http://schemas.openxmlformats.org/officeDocument/2006/relationships/hyperlink" Target="https://www.gov.scot/policies/climate-change/reducing-emissions/" TargetMode="External"/><Relationship Id="rId16" Type="http://schemas.openxmlformats.org/officeDocument/2006/relationships/hyperlink" Target="https://www.edinburgh.gov.uk/downloads/file/30101/vision-for-water-management-in-the-city-of-edinburgh" TargetMode="External"/><Relationship Id="rId20" Type="http://schemas.openxmlformats.org/officeDocument/2006/relationships/hyperlink" Target="https://www.hutton.ac.uk/learning/natural-resource-datasets/soilshutton/soils-maps-scotland/download" TargetMode="External"/><Relationship Id="rId1" Type="http://schemas.openxmlformats.org/officeDocument/2006/relationships/hyperlink" Target="https://www.scottishairquality.scot/laqm/aqma" TargetMode="External"/><Relationship Id="rId6" Type="http://schemas.openxmlformats.org/officeDocument/2006/relationships/hyperlink" Target="https://www.metoffice.gov.uk/pub/data/weather/uk/ukcp18/science-reports/UKCP18-Overview-report.pdf" TargetMode="External"/><Relationship Id="rId11" Type="http://schemas.openxmlformats.org/officeDocument/2006/relationships/hyperlink" Target="https://consultationhub.edinburgh.gov.uk/sfc/choicesforcityplan2030/user_uploads/choices_for_city_plan_2030___city_plan_environmental_report___january_2020.pdf" TargetMode="External"/><Relationship Id="rId5" Type="http://schemas.openxmlformats.org/officeDocument/2006/relationships/hyperlink" Target="https://www.edinburgh.gov.uk/downloads/file/24709/resilient-edinburgh-evidence-base-and-risk-analysis" TargetMode="External"/><Relationship Id="rId15" Type="http://schemas.openxmlformats.org/officeDocument/2006/relationships/hyperlink" Target="https://www.sepa.org.uk/data-visualisation/water-classification-hub" TargetMode="External"/><Relationship Id="rId23" Type="http://schemas.openxmlformats.org/officeDocument/2006/relationships/hyperlink" Target="https://www.edinburgh.gov.uk/conservation-2/listed-buildings/1" TargetMode="External"/><Relationship Id="rId10" Type="http://schemas.openxmlformats.org/officeDocument/2006/relationships/hyperlink" Target="https://www.hutton.ac.uk/learning/natural-resource-datasets/soilshutton/soils-maps-scotland/download" TargetMode="External"/><Relationship Id="rId19" Type="http://schemas.openxmlformats.org/officeDocument/2006/relationships/hyperlink" Target="https://www.sepa.org.uk/media/219432/lups-sea-gu4-consideration-of-material-assets-in-sea.pdf" TargetMode="External"/><Relationship Id="rId4" Type="http://schemas.openxmlformats.org/officeDocument/2006/relationships/hyperlink" Target="https://www.metoffice.gov.uk/research/climate/maps-and-data/uk-climate-averages" TargetMode="External"/><Relationship Id="rId9" Type="http://schemas.openxmlformats.org/officeDocument/2006/relationships/hyperlink" Target="https://www.researchgate.net/publication/349769809_A_Net-Zero_Carbon_Roadmap_for_Edinburgh" TargetMode="External"/><Relationship Id="rId14" Type="http://schemas.openxmlformats.org/officeDocument/2006/relationships/hyperlink" Target="http://www.edinburgh.gov.uk/info/20006/emergencies_safety_and_crime/1433/flood_risk_management_plan" TargetMode="External"/><Relationship Id="rId22" Type="http://schemas.openxmlformats.org/officeDocument/2006/relationships/hyperlink" Target="https://www.edinburghhsc.scot/the-ijb/jsna/populationanddemograph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mole\AppData\Roaming\MacroView.Office\Files\Templates\Reports\Branding%20group%203\e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8CE385582742EEA6234D8A2E696619"/>
        <w:category>
          <w:name w:val="General"/>
          <w:gallery w:val="placeholder"/>
        </w:category>
        <w:types>
          <w:type w:val="bbPlcHdr"/>
        </w:types>
        <w:behaviors>
          <w:behavior w:val="content"/>
        </w:behaviors>
        <w:guid w:val="{67F25AC6-FF7F-4060-ACE0-C1062CBBFD16}"/>
      </w:docPartPr>
      <w:docPartBody>
        <w:p w:rsidR="003A0ADD" w:rsidRDefault="003A0ADD">
          <w:r w:rsidRPr="00945A88">
            <w:rPr>
              <w:i/>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acobs Chronos">
    <w:panose1 w:val="020B0603030503030204"/>
    <w:charset w:val="00"/>
    <w:family w:val="swiss"/>
    <w:pitch w:val="variable"/>
    <w:sig w:usb0="A00000EF" w:usb1="0000E0EB" w:usb2="00000008" w:usb3="00000000" w:csb0="00000001" w:csb1="00000000"/>
  </w:font>
  <w:font w:name="Times New Roman">
    <w:panose1 w:val="02020603050405020304"/>
    <w:charset w:val="00"/>
    <w:family w:val="roman"/>
    <w:pitch w:val="variable"/>
    <w:sig w:usb0="E0002EFF" w:usb1="C000785B" w:usb2="00000009" w:usb3="00000000" w:csb0="000001FF" w:csb1="00000000"/>
  </w:font>
  <w:font w:name="Jacobs Chronos Light">
    <w:panose1 w:val="020B0403030503030204"/>
    <w:charset w:val="00"/>
    <w:family w:val="swiss"/>
    <w:pitch w:val="variable"/>
    <w:sig w:usb0="A00000EF" w:usb1="0000E0EB" w:usb2="00000008"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ADD"/>
    <w:rsid w:val="00087891"/>
    <w:rsid w:val="000B3EA4"/>
    <w:rsid w:val="000D7D5B"/>
    <w:rsid w:val="000F7B6C"/>
    <w:rsid w:val="00102A3B"/>
    <w:rsid w:val="001274BF"/>
    <w:rsid w:val="002952A4"/>
    <w:rsid w:val="002B7EDB"/>
    <w:rsid w:val="00326C96"/>
    <w:rsid w:val="003A0ADD"/>
    <w:rsid w:val="003D1A95"/>
    <w:rsid w:val="0067221C"/>
    <w:rsid w:val="00A65588"/>
    <w:rsid w:val="00A759D3"/>
    <w:rsid w:val="00C32C4F"/>
    <w:rsid w:val="00CA44A5"/>
    <w:rsid w:val="00DC79B6"/>
    <w:rsid w:val="00F16BFD"/>
    <w:rsid w:val="00F31D69"/>
    <w:rsid w:val="00FD5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i/>
      <w:color w:val="auto"/>
      <w:bdr w:val="none" w:sz="0" w:space="0" w:color="auto"/>
      <w:shd w:val="clear" w:color="auto" w:fill="auto"/>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JacobsBlue">
  <a:themeElements>
    <a:clrScheme name="Jacobs Accents Blue">
      <a:dk1>
        <a:srgbClr val="000000"/>
      </a:dk1>
      <a:lt1>
        <a:srgbClr val="FFFFFF"/>
      </a:lt1>
      <a:dk2>
        <a:srgbClr val="333333"/>
      </a:dk2>
      <a:lt2>
        <a:srgbClr val="E6E6E6"/>
      </a:lt2>
      <a:accent1>
        <a:srgbClr val="231EDC"/>
      </a:accent1>
      <a:accent2>
        <a:srgbClr val="0A7DFF"/>
      </a:accent2>
      <a:accent3>
        <a:srgbClr val="5AE6FF"/>
      </a:accent3>
      <a:accent4>
        <a:srgbClr val="001E55"/>
      </a:accent4>
      <a:accent5>
        <a:srgbClr val="A5A5A5"/>
      </a:accent5>
      <a:accent6>
        <a:srgbClr val="C8C8C8"/>
      </a:accent6>
      <a:hlink>
        <a:srgbClr val="231EDC"/>
      </a:hlink>
      <a:folHlink>
        <a:srgbClr val="E5E5E5"/>
      </a:folHlink>
    </a:clrScheme>
    <a:fontScheme name="JacobsChronos">
      <a:majorFont>
        <a:latin typeface="Jacobs Chronos"/>
        <a:ea typeface=""/>
        <a:cs typeface=""/>
      </a:majorFont>
      <a:minorFont>
        <a:latin typeface="Jacobs Chron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1 6 " ? > < q 1 : B r a n d   x m l n s : q 1 = " h t t p : / / s c h e m a s . m a c r o v i e w . c o m . a u / b r a n d " >  
     < q 1 : G r o u p i n g / >  
     < q 1 : L o g o P a t h > C : \ U s e r s \ s c h m o l e \ A p p D a t a \ R o a m i n g \ M a c r o V i e w . O f f i c e \ F i l e s \ A p p S e t t i n g s \ B r a n d s \ J a c o b s . j p g < / q 1 : L o g o P a t h >  
     < q 1 : N a m e > J a c o b s < / q 1 : N a m e >  
 < / q 1 : B r a n d > 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root xmlns="http://schemas.macroview.com.au/answerfile">
  <Apologies xmlns="http://schemas.macroview.com.au/answerfile"/>
  <Approv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ApprovedBy>
  <ClientName xmlns="http://schemas.macroview.com.au/answerfile">City of Edinburgh Council</ClientName>
  <ClientReference xmlns="http://schemas.macroview.com.au/answerfile"/>
  <CopiesTo xmlns="http://schemas.macroview.com.au/answerfile"/>
  <CvFirstNameSurname xmlns="http://schemas.macroview.com.au/answerfile"/>
  <Date xmlns="http://schemas.macroview.com.au/answerfile">2022-02-25T00:00:00+00:00</Date>
  <DocumentNumber xmlns="http://schemas.macroview.com.au/answerfile"/>
  <DocumentTitle xmlns="http://schemas.macroview.com.au/answerfile">Strategic Environmental Assessment Environmental Report Appendix A</DocumentTitle>
  <Location xmlns="http://schemas.macroview.com.au/answerfile"/>
  <NumberOfPages xmlns="http://schemas.macroview.com.au/answerfile"/>
  <Participants xmlns="http://schemas.macroview.com.au/answerfile"/>
  <ProjectManager xmlns="http://schemas.macroview.com.au/answerfile">
    <Address/>
    <Addresses/>
    <Assistant/>
    <CompanyName/>
    <Country/>
    <Delivery/>
    <Department/>
    <EmailAddress/>
    <ExtensionAttribute3/>
    <ExtensionAttribute4/>
    <ExternalId/>
    <FaxNumber/>
    <FirstName/>
    <FullName>Christine Gracie</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ProjectManager>
  <ProjectName xmlns="http://schemas.macroview.com.au/answerfile">Climate Strategy 2030</ProjectName>
  <ProjectNumber xmlns="http://schemas.macroview.com.au/answerfile">B2340301</ProjectNumber>
  <Recipient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cipient>
  <Review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viewedBy>
  <RevisionNumber xmlns="http://schemas.macroview.com.au/answerfile">0.1</RevisionNumber>
  <Sender xmlns="http://schemas.macroview.com.au/answerfile">
    <Address/>
    <Addresses/>
    <Assistant/>
    <CompanyName/>
    <Country/>
    <Delivery/>
    <Department/>
    <EmailAddress/>
    <ExtensionAttribute3/>
    <ExtensionAttribute4/>
    <ExternalId/>
    <FaxNumber/>
    <FirstName/>
    <FullName>Erika Schmolke</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
  <Sender2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2>
  <SubHeading xmlns="http://schemas.macroview.com.au/answerfile"/>
  <Subject xmlns="http://schemas.macroview.com.au/answerfile"/>
</root>
</file>

<file path=customXml/item2.xml><?xml version="1.0" encoding="utf-8"?>
<q1:DocumentSettings xmlns:q1="http://schemas.macroview.com.au/documentsettings">
  <q1:NewDocumentMethodName>Report_NewDocument</q1:NewDocumentMethodName>
  <q1:ChangeOfficeMethodName>ChangeOffice_Report</q1:ChangeOfficeMethodName>
  <q1:ConversionSettings>
    <q1:AttachTemplateActionsMethodName>ReportConversionAttachTemplateActions</q1:AttachTemplateActionsMethodName>
    <q1:ParagraphStyleMappingsFileName>Report Proposal Paragraph Style Mappings.xml</q1:ParagraphStyleMappingsFileName>
  </q1:ConversionSettings>
</q1:DocumentSettings>
</file>

<file path=customXml/item3.xml><?xml version="1.0" encoding="utf-8"?>
<q1:RibbonSettings xmlns:q1="http://schemas.macroview.com.au/ribbonsettings">
  <q1:IsChangeOfficeVisible>true</q1:IsChangeOfficeVisible>
  <q1:IsCoverPagesVisible>true</q1:IsCoverPagesVisible>
  <q1:IsRefreshTocVisible>true</q1:IsRefreshTocVisible>
  <q1:IsTogglePaperSizeVisible>true</q1:IsTogglePaperSizeVisible>
  <q1:IsToggleMirrorMarginsVisible>true</q1:IsToggleMirrorMarginsVisible>
</q1:RibbonSetting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q1:Entity xmlns:q1="http://schemas.macroview.com.au/entity">
  <q1:Countries>
    <q1:string/>
    <q1:string/>
  </q1:Countries>
  <q1:Name/>
  <q1:Description/>
  <q1:Web/>
</q1:Entity>
</file>

<file path=customXml/item6.xml>��< ? x m l   v e r s i o n = " 1 . 0 "   e n c o d i n g = " u t f - 1 6 " ? > < q 1 : O f f i c e   x m l n s : q 1 = " h t t p : / / s c h e m a s . m a c r o v i e w . c o m . a u / o f f i c e " >  
     < q 1 : C C D e l i v e r y I t e m s / >  
     < q 1 : C o u n t r y > U n i t e d   K i n g d o m < / q 1 : C o u n t r y >  
     < q 1 : C r e a t e d T i m e > 0 0 0 1 - 0 1 - 0 1 T 0 0 : 0 0 : 0 0 < / q 1 : C r e a t e d T i m e >  
     < q 1 : C u l t u r e C o d e > e n - G B < / q 1 : C u l t u r e C o d e > 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i s p l a y I n E x c e l > t r u e < / q 1 : D i s p l a y I n E x c e l >  
     < q 1 : D i s p l a y I n O u t l o o k > t r u e < / q 1 : D i s p l a y I n O u t l o o k >  
     < q 1 : D i s p l a y I n P o w e r P o i n t > t r u e < / q 1 : D i s p l a y I n P o w e r P o i n t >  
     < q 1 : D i s p l a y I n W o r d > t r u e < / q 1 : D i s p l a y I n W o r d >  
     < q 1 : E x c l u d e d T e m p l a t e s / >  
     < q 1 : F a c s i m i l e N u m b e r > + 4 4   ( 0 ) 1 3 1   2 2 8   6 1 7 7 < / q 1 : F a c s i m i l e N u m b e r >  
     < q 1 : I d > 8 c 5 7 8 c e f - 8 2 1 5 - 4 f 3 7 - 8 6 e a - 2 d 3 5 8 b f d 3 4 d b < / q 1 : I d >  
     < q 1 : I s C u s t o m G a l l e r y 2 V i s i b l e > f a l s e < / q 1 : I s C u s t o m G a l l e r y 2 V i s i b l e >  
     < q 1 : L e g a l N o t i c e I t e m s / >  
     < q 1 : L e t t e r h e a d >  
         < q 1 : F o o t e r P a r a g r a p h S p a c e B e f o r e > 0 < / q 1 : F o o t e r P a r a g r a p h S p a c e B e f o r e >  
         < q 1 : H e a d e r P a r a g r a p h S p a c e A f t e r > 0 < / q 1 : H e a d e r P a r a g r a p h S p a c e A f t e r >  
     < / q 1 : L e t t e r h e a d >  
     < q 1 : L o g o >  
         < q 1 : H e i g h t   d 3 p 1 : n i l = " t r u e "   x m l n s : d 3 p 1 = " h t t p : / / w w w . w 3 . o r g / 2 0 0 1 / X M L S c h e m a - i n s t a n c e " / >  
     < / q 1 : L o g o >  
     < q 1 : L o n g D a t e F o r m a t > d   M M M M   y y y y < / q 1 : L o n g D a t e F o r m a t >  
     < q 1 : M o d i f i e d T i m e > 0 0 0 1 - 0 1 - 0 1 T 0 0 : 0 0 : 0 0 < / q 1 : M o d i f i e d T i m e >  
     < q 1 : M u l t i l i n e A d d r e s s > 1 6 0   D u n d e e   S t r e e t  
 E d i n b u r g h ,   E H 1 1   1 D Q  
 U n i t e d   K i n g d o m < / q 1 : M u l t i l i n e A d d r e s s >  
     < q 1 : N a m e > E d i n b u r g h < / q 1 : N a m e >  
     < q 1 : P a p e r S i z e   d 2 p 1 : n i l = " t r u e "   x m l n s : d 2 p 1 = " h t t p : / / w w w . w 3 . o r g / 2 0 0 1 / X M L S c h e m a - i n s t a n c e " / >  
     < q 1 : P h o n e N u m b e r > + 4 4   ( 0 ) 1 3 1   6 5 9   1 5 0 0 < / q 1 : P h o n e N u m b e r >  
     < q 1 : P o s t a l A d d r e s s >  
         < q 1 : T y p e > M a i l i n g A d d r e s s < / q 1 : T y p e >  
     < / q 1 : P o s t a l A d d r e s s >  
     < q 1 : P r i v a c y I t e m s / >  
     < q 1 : R e c i p i e n t D e l i v e r y I t e m s / >  
     < q 1 : S a l u t a t i o n I t e m s / >  
     < q 1 : S i g n o f f I t e m s / >  
     < q 1 : S t r e e t A d d r e s s >  
         < q 1 : T y p e > M a i l i n g A d d r e s s < / q 1 : T y p e >  
     < / q 1 : S t r e e t A d d r e s s >  
     < q 1 : T e m p l a t e G r o u p i n g s >  
         < q 1 : s t r i n g > E d i n b u r g h < / q 1 : s t r i n g >  
         < q 1 : s t r i n g > E d i n b u r g h < / q 1 : s t r i n g >  
         < q 1 : s t r i n g > e n < / q 1 : s t r i n g >  
     < / q 1 : T e m p l a t e G r o u p i n g s >  
     < q 1 : W e b s i t e > w w w . j a c o b s . c o m < / q 1 : W e b s i t e >  
 < / q 1 : O f f i c e > 
</file>

<file path=customXml/item7.xml><?xml version="1.0" encoding="utf-8"?>
<ct:contentTypeSchema xmlns:ct="http://schemas.microsoft.com/office/2006/metadata/contentType" xmlns:ma="http://schemas.microsoft.com/office/2006/metadata/properties/metaAttributes" ct:_="" ma:_="" ma:contentTypeName="Document" ma:contentTypeID="0x01010067C27D107753FA4EA860EDA9D295828B" ma:contentTypeVersion="7" ma:contentTypeDescription="Create a new document." ma:contentTypeScope="" ma:versionID="d21a18e9c2af9f9334455f9ed52b9a2e">
  <xsd:schema xmlns:xsd="http://www.w3.org/2001/XMLSchema" xmlns:xs="http://www.w3.org/2001/XMLSchema" xmlns:p="http://schemas.microsoft.com/office/2006/metadata/properties" xmlns:ns2="17ce0e16-275d-48bb-a940-2c2db0195eea" targetNamespace="http://schemas.microsoft.com/office/2006/metadata/properties" ma:root="true" ma:fieldsID="46b025d517cf09674d74560494ef5e45" ns2:_="">
    <xsd:import namespace="17ce0e16-275d-48bb-a940-2c2db0195e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e0e16-275d-48bb-a940-2c2db0195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q1:StyleVisibilitySettingsCollection xmlns:q1="http://schemas.macroview.com.au/StyleVisibilitySettingsCollection">
  <q1:SettingsCollection>
    <q1:StyleVisibilitySettings>
      <q1:Name>Body Text</q1:Name>
      <q1:Priority>1</q1:Priority>
      <q1:Visibility>true</q1:Visibility>
    </q1:StyleVisibilitySettings>
    <q1:StyleVisibilitySettings>
      <q1:Name>Heading 1</q1:Name>
      <q1:Priority>1</q1:Priority>
      <q1:Visibility>true</q1:Visibility>
    </q1:StyleVisibilitySettings>
    <q1:StyleVisibilitySettings>
      <q1:Name>Heading 2</q1:Name>
      <q1:Priority>1</q1:Priority>
      <q1:Visibility>true</q1:Visibility>
    </q1:StyleVisibilitySettings>
    <q1:StyleVisibilitySettings>
      <q1:Name>Heading 3</q1:Name>
      <q1:Priority>1</q1:Priority>
      <q1:Visibility>true</q1:Visibility>
    </q1:StyleVisibilitySettings>
    <q1:StyleVisibilitySettings>
      <q1:Name>Heading 4</q1:Name>
      <q1:Priority>1</q1:Priority>
      <q1:Visibility>true</q1:Visibility>
    </q1:StyleVisibilitySettings>
    <q1:StyleVisibilitySettings>
      <q1:Name>Heading 5</q1:Name>
      <q1:Priority>1</q1:Priority>
      <q1:Visibility>true</q1:Visibility>
    </q1:StyleVisibilitySettings>
    <q1:StyleVisibilitySettings>
      <q1:Name>Heading 6</q1:Name>
      <q1:Priority>1</q1:Priority>
      <q1:Visibility>true</q1:Visibility>
    </q1:StyleVisibilitySettings>
    <q1:StyleVisibilitySettings>
      <q1:Name>Heading (unnumbered) 1</q1:Name>
      <q1:Priority>2</q1:Priority>
      <q1:Visibility>true</q1:Visibility>
    </q1:StyleVisibilitySettings>
    <q1:StyleVisibilitySettings>
      <q1:Name>Heading (unnumbered) 2</q1:Name>
      <q1:Priority>2</q1:Priority>
      <q1:Visibility>true</q1:Visibility>
    </q1:StyleVisibilitySettings>
    <q1:StyleVisibilitySettings>
      <q1:Name>Heading (unnumbered) 3</q1:Name>
      <q1:Priority>2</q1:Priority>
      <q1:Visibility>true</q1:Visibility>
    </q1:StyleVisibilitySettings>
    <q1:StyleVisibilitySettings>
      <q1:Name>Body Text 1 Number</q1:Name>
      <q1:Priority>3</q1:Priority>
      <q1:Visibility>true</q1:Visibility>
    </q1:StyleVisibilitySettings>
    <q1:StyleVisibilitySettings>
      <q1:Name>Body Text 2 Letter</q1:Name>
      <q1:Priority>3</q1:Priority>
      <q1:Visibility>true</q1:Visibility>
    </q1:StyleVisibilitySettings>
    <q1:StyleVisibilitySettings>
      <q1:Name>Body Text 3 Roman</q1:Name>
      <q1:Priority>3</q1:Priority>
      <q1:Visibility>true</q1:Visibility>
    </q1:StyleVisibilitySettings>
    <q1:StyleVisibilitySettings>
      <q1:Name>Body Text 4 Number</q1:Name>
      <q1:Priority>3</q1:Priority>
      <q1:Visibility>true</q1:Visibility>
    </q1:StyleVisibilitySettings>
    <q1:StyleVisibilitySettings>
      <q1:Name>Bullet Level 1</q1:Name>
      <q1:Priority>3</q1:Priority>
      <q1:Visibility>true</q1:Visibility>
    </q1:StyleVisibilitySettings>
    <q1:StyleVisibilitySettings>
      <q1:Name>Bullet Level 2</q1:Name>
      <q1:Priority>3</q1:Priority>
      <q1:Visibility>true</q1:Visibility>
    </q1:StyleVisibilitySettings>
    <q1:StyleVisibilitySettings>
      <q1:Name>Bullet Level 3</q1:Name>
      <q1:Priority>3</q1:Priority>
      <q1:Visibility>true</q1:Visibility>
    </q1:StyleVisibilitySettings>
    <q1:StyleVisibilitySettings>
      <q1:Name>Single Sequential</q1:Name>
      <q1:Priority>3</q1:Priority>
      <q1:Visibility>true</q1:Visibility>
    </q1:StyleVisibilitySettings>
    <q1:StyleVisibilitySettings>
      <q1:Name>Sequential 1.1.1 Format</q1:Name>
      <q1:Priority>4</q1:Priority>
      <q1:Visibility>true</q1:Visibility>
    </q1:StyleVisibilitySettings>
    <q1:StyleVisibilitySettings>
      <q1:Name>Table Heading</q1:Name>
      <q1:Priority>4</q1:Priority>
      <q1:Visibility>true</q1:Visibility>
    </q1:StyleVisibilitySettings>
    <q1:StyleVisibilitySettings>
      <q1:Name>Table Heading White</q1:Name>
      <q1:Priority>4</q1:Priority>
      <q1:Visibility>true</q1:Visibility>
    </q1:StyleVisibilitySettings>
    <q1:StyleVisibilitySettings>
      <q1:Name>Table Heading 2</q1:Name>
      <q1:Priority>5</q1:Priority>
      <q1:Visibility>true</q1:Visibility>
    </q1:StyleVisibilitySettings>
    <q1:StyleVisibilitySettings>
      <q1:Name>Table Text</q1:Name>
      <q1:Priority>5</q1:Priority>
      <q1:Visibility>true</q1:Visibility>
    </q1:StyleVisibilitySettings>
    <q1:StyleVisibilitySettings>
      <q1:Name>Table Number</q1:Name>
      <q1:Priority>6</q1:Priority>
      <q1:Visibility>true</q1:Visibility>
    </q1:StyleVisibilitySettings>
    <q1:StyleVisibilitySettings>
      <q1:Name>Table Number 2</q1:Name>
      <q1:Priority>6</q1:Priority>
      <q1:Visibility>true</q1:Visibility>
    </q1:StyleVisibilitySettings>
    <q1:StyleVisibilitySettings>
      <q1:Name>Table Number 3</q1:Name>
      <q1:Priority>6</q1:Priority>
      <q1:Visibility>true</q1:Visibility>
    </q1:StyleVisibilitySettings>
    <q1:StyleVisibilitySettings>
      <q1:Name>Table Bullet</q1:Name>
      <q1:Priority>7</q1:Priority>
      <q1:Visibility>true</q1:Visibility>
    </q1:StyleVisibilitySettings>
    <q1:StyleVisibilitySettings>
      <q1:Name>Table Bullet 2</q1:Name>
      <q1:Priority>7</q1:Priority>
      <q1:Visibility>true</q1:Visibility>
    </q1:StyleVisibilitySettings>
    <q1:StyleVisibilitySettings>
      <q1:Name>Table Bullet 3</q1:Name>
      <q1:Priority>7</q1:Priority>
      <q1:Visibility>true</q1:Visibility>
    </q1:StyleVisibilitySettings>
    <q1:StyleVisibilitySettings>
      <q1:Name>Table Notes</q1:Name>
      <q1:Priority>7</q1:Priority>
      <q1:Visibility>true</q1:Visibility>
    </q1:StyleVisibilitySettings>
    <q1:StyleVisibilitySettings>
      <q1:Name>Table Notes Indented</q1:Name>
      <q1:Priority>7</q1:Priority>
      <q1:Visibility>true</q1:Visibility>
    </q1:StyleVisibilitySettings>
    <q1:StyleVisibilitySettings>
      <q1:Name>Photolog Number</q1:Name>
      <q1:Priority>8</q1:Priority>
      <q1:Visibility>true</q1:Visibility>
    </q1:StyleVisibilitySettings>
    <q1:StyleVisibilitySettings>
      <q1:Name>Quote Text</q1:Name>
      <q1:Priority>8</q1:Priority>
      <q1:Visibility>true</q1:Visibility>
    </q1:StyleVisibilitySettings>
    <q1:StyleVisibilitySettings>
      <q1:Name>Quote Author</q1:Name>
      <q1:Priority>9</q1:Priority>
      <q1:Visibility>true</q1:Visibility>
    </q1:StyleVisibilitySettings>
    <q1:StyleVisibilitySettings>
      <q1:Name>Quote Author Title</q1:Name>
      <q1:Priority>9</q1:Priority>
      <q1:Visibility>true</q1:Visibility>
    </q1:StyleVisibilitySettings>
    <q1:StyleVisibilitySettings>
      <q1:Name>Source/Citation</q1:Name>
      <q1:Priority>9</q1:Priority>
      <q1:Visibility>true</q1:Visibility>
    </q1:StyleVisibilitySettings>
    <q1:StyleVisibilitySettings>
      <q1:Name>Appendix Heading 1</q1:Name>
      <q1:Priority>20</q1:Priority>
      <q1:Visibility>true</q1:Visibility>
    </q1:StyleVisibilitySettings>
    <q1:StyleVisibilitySettings>
      <q1:Name>Appendix Heading 2</q1:Name>
      <q1:Priority>21</q1:Priority>
      <q1:Visibility>true</q1:Visibility>
    </q1:StyleVisibilitySettings>
    <q1:StyleVisibilitySettings>
      <q1:Name>Appendix Heading 3</q1:Name>
      <q1:Priority>21</q1:Priority>
      <q1:Visibility>true</q1:Visibility>
    </q1:StyleVisibilitySettings>
    <q1:StyleVisibilitySettings>
      <q1:Name>Appendix Heading 4</q1:Name>
      <q1:Priority>21</q1:Priority>
      <q1:Visibility>true</q1:Visibility>
    </q1:StyleVisibilitySettings>
    <q1:StyleVisibilitySettings>
      <q1:Name>Normal</q1:Name>
      <q1:Priority>100</q1:Priority>
      <q1:Visibility>true</q1:Visibility>
    </q1:StyleVisibilitySettings>
  </q1:SettingsCollection>
</q1:StyleVisibilitySettingsCollection>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0622A-8F23-414D-B9C8-AF769FEAA4B4}">
  <ds:schemaRefs>
    <ds:schemaRef ds:uri="http://schemas.macroview.com.au/brand"/>
  </ds:schemaRefs>
</ds:datastoreItem>
</file>

<file path=customXml/itemProps10.xml><?xml version="1.0" encoding="utf-8"?>
<ds:datastoreItem xmlns:ds="http://schemas.openxmlformats.org/officeDocument/2006/customXml" ds:itemID="{177C84D0-13EE-469D-A04E-73E6507798E1}">
  <ds:schemaRefs>
    <ds:schemaRef ds:uri="http://schemas.microsoft.com/sharepoint/v3/contenttype/forms"/>
  </ds:schemaRefs>
</ds:datastoreItem>
</file>

<file path=customXml/itemProps11.xml><?xml version="1.0" encoding="utf-8"?>
<ds:datastoreItem xmlns:ds="http://schemas.openxmlformats.org/officeDocument/2006/customXml" ds:itemID="{8F33FB8F-8118-4915-86A8-F93B7C2B254E}">
  <ds:schemaRefs>
    <ds:schemaRef ds:uri="http://schemas.macroview.com.au/answerfile"/>
  </ds:schemaRefs>
</ds:datastoreItem>
</file>

<file path=customXml/itemProps2.xml><?xml version="1.0" encoding="utf-8"?>
<ds:datastoreItem xmlns:ds="http://schemas.openxmlformats.org/officeDocument/2006/customXml" ds:itemID="{F745B0E8-9C7D-47CD-9756-F12F6E6FD4A6}">
  <ds:schemaRefs>
    <ds:schemaRef ds:uri="http://schemas.macroview.com.au/documentsettings"/>
  </ds:schemaRefs>
</ds:datastoreItem>
</file>

<file path=customXml/itemProps3.xml><?xml version="1.0" encoding="utf-8"?>
<ds:datastoreItem xmlns:ds="http://schemas.openxmlformats.org/officeDocument/2006/customXml" ds:itemID="{EBA198BC-CC5A-4C5B-B12C-7FF201E06B09}">
  <ds:schemaRefs>
    <ds:schemaRef ds:uri="http://schemas.macroview.com.au/ribbonsettings"/>
  </ds:schemaRefs>
</ds:datastoreItem>
</file>

<file path=customXml/itemProps4.xml><?xml version="1.0" encoding="utf-8"?>
<ds:datastoreItem xmlns:ds="http://schemas.openxmlformats.org/officeDocument/2006/customXml" ds:itemID="{087FB988-308A-4918-8D65-13EFE8F21FE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E3ABECF-B324-4CC2-ABE2-C2EE62CAA5EE}">
  <ds:schemaRefs>
    <ds:schemaRef ds:uri="http://schemas.macroview.com.au/entity"/>
  </ds:schemaRefs>
</ds:datastoreItem>
</file>

<file path=customXml/itemProps6.xml><?xml version="1.0" encoding="utf-8"?>
<ds:datastoreItem xmlns:ds="http://schemas.openxmlformats.org/officeDocument/2006/customXml" ds:itemID="{DAAC4B2A-F940-41B1-A09D-786F93F379CA}">
  <ds:schemaRefs>
    <ds:schemaRef ds:uri="http://schemas.macroview.com.au/office"/>
  </ds:schemaRefs>
</ds:datastoreItem>
</file>

<file path=customXml/itemProps7.xml><?xml version="1.0" encoding="utf-8"?>
<ds:datastoreItem xmlns:ds="http://schemas.openxmlformats.org/officeDocument/2006/customXml" ds:itemID="{508D2B7A-E5FC-4DBB-8FBA-E784C7431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e0e16-275d-48bb-a940-2c2db0195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17C16B15-DA81-4F30-898C-369246EDDE08}">
  <ds:schemaRefs>
    <ds:schemaRef ds:uri="http://schemas.macroview.com.au/StyleVisibilitySettingsCollection"/>
  </ds:schemaRefs>
</ds:datastoreItem>
</file>

<file path=customXml/itemProps9.xml><?xml version="1.0" encoding="utf-8"?>
<ds:datastoreItem xmlns:ds="http://schemas.openxmlformats.org/officeDocument/2006/customXml" ds:itemID="{004CAA3D-8756-452F-BCEC-36A9A4AA1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55</TotalTime>
  <Pages>17</Pages>
  <Words>4530</Words>
  <Characters>25827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Schmolke, Erika</dc:creator>
  <cp:keywords/>
  <dc:description/>
  <cp:lastModifiedBy>Schmolke, Erika</cp:lastModifiedBy>
  <cp:revision>10</cp:revision>
  <dcterms:created xsi:type="dcterms:W3CDTF">2022-06-24T13:59:00Z</dcterms:created>
  <dcterms:modified xsi:type="dcterms:W3CDTF">2022-08-03T14:15:00Z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Set">
    <vt:lpwstr>Jacobs en.dotx</vt:lpwstr>
  </property>
  <property fmtid="{D5CDD505-2E9C-101B-9397-08002B2CF9AE}" pid="3" name="ContentTypeId">
    <vt:lpwstr>0x01010067C27D107753FA4EA860EDA9D295828B</vt:lpwstr>
  </property>
</Properties>
</file>