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5202585" w:displacedByCustomXml="next"/>
    <w:sdt>
      <w:sdtPr>
        <w:rPr>
          <w:b w:val="0"/>
          <w:color w:val="auto"/>
          <w:sz w:val="20"/>
        </w:rPr>
        <w:id w:val="-730926708"/>
        <w:docPartObj>
          <w:docPartGallery w:val="Cover Pages"/>
          <w:docPartUnique/>
        </w:docPartObj>
      </w:sdtPr>
      <w:sdtEndPr/>
      <w:sdtContent>
        <w:p w14:paraId="58667364" w14:textId="52E54A91" w:rsidR="00372B54" w:rsidRDefault="001720FA" w:rsidP="000328FC">
          <w:pPr>
            <w:pStyle w:val="CoverHeading"/>
          </w:pPr>
          <w:r>
            <w:t xml:space="preserve">Strategic Environmental Assessment </w:t>
          </w:r>
          <w:r w:rsidR="008B56F2">
            <w:t>Environmental Report</w:t>
          </w:r>
        </w:p>
        <w:p w14:paraId="32D2C88A" w14:textId="1EB18E8A" w:rsidR="008B56F2" w:rsidRDefault="008B56F2" w:rsidP="000328FC">
          <w:pPr>
            <w:pStyle w:val="CoverHeading"/>
          </w:pPr>
          <w:r>
            <w:t xml:space="preserve">Appendix </w:t>
          </w:r>
          <w:r w:rsidR="00B830FE">
            <w:t>D</w:t>
          </w:r>
          <w:r>
            <w:t xml:space="preserve">. </w:t>
          </w:r>
          <w:r w:rsidR="006F2A08">
            <w:t xml:space="preserve">Strategic Actions </w:t>
          </w:r>
          <w:r>
            <w:t>S</w:t>
          </w:r>
          <w:r w:rsidR="00B830FE">
            <w:t>ifting Exercise</w:t>
          </w:r>
        </w:p>
        <w:bookmarkEnd w:id="0"/>
        <w:p w14:paraId="6D65B67E" w14:textId="74313219" w:rsidR="00372B54" w:rsidRDefault="00372B54" w:rsidP="000328FC">
          <w:pPr>
            <w:pStyle w:val="CoverInformation"/>
          </w:pPr>
          <w:r>
            <w:br/>
            <w:t xml:space="preserve">Revision no: </w:t>
          </w:r>
          <w:r w:rsidR="001720FA">
            <w:t>0.</w:t>
          </w:r>
          <w:r w:rsidR="009D67E7">
            <w:t xml:space="preserve"> 2</w:t>
          </w:r>
        </w:p>
        <w:p w14:paraId="7216E094" w14:textId="7236BAAC" w:rsidR="005516D1" w:rsidRDefault="001720FA" w:rsidP="000328FC">
          <w:pPr>
            <w:pStyle w:val="CoverInformationBold"/>
          </w:pPr>
          <w:r>
            <w:t>City of Edinburgh Council</w:t>
          </w:r>
        </w:p>
        <w:p w14:paraId="72B281AD" w14:textId="0FCF1905" w:rsidR="00372B54" w:rsidRDefault="00372B54" w:rsidP="000328FC">
          <w:pPr>
            <w:pStyle w:val="CoverInformation"/>
            <w:tabs>
              <w:tab w:val="left" w:pos="5783"/>
            </w:tabs>
          </w:pPr>
        </w:p>
        <w:p w14:paraId="4525CA0D" w14:textId="66E836B7" w:rsidR="00372B54" w:rsidRDefault="001720FA" w:rsidP="000328FC">
          <w:pPr>
            <w:pStyle w:val="CoverInformationBold"/>
          </w:pPr>
          <w:r>
            <w:t>Climate Strategy 2030</w:t>
          </w:r>
        </w:p>
        <w:p w14:paraId="55C52678" w14:textId="11F6186B" w:rsidR="00372B54" w:rsidRPr="002667C9" w:rsidRDefault="00E376F2" w:rsidP="000328FC">
          <w:pPr>
            <w:pStyle w:val="CoverInformation"/>
            <w:contextualSpacing w:val="0"/>
          </w:pPr>
          <w:r>
            <w:t>August</w:t>
          </w:r>
          <w:r w:rsidR="003154FF">
            <w:t xml:space="preserve"> 2022</w:t>
          </w:r>
        </w:p>
        <w:p w14:paraId="69DE7B85" w14:textId="77777777" w:rsidR="00372B54" w:rsidRDefault="00E376F2" w:rsidP="00C21589">
          <w:pPr>
            <w:tabs>
              <w:tab w:val="left" w:pos="2171"/>
            </w:tabs>
            <w:sectPr w:rsidR="00372B54" w:rsidSect="00ED5407">
              <w:headerReference w:type="even" r:id="rId18"/>
              <w:headerReference w:type="default" r:id="rId19"/>
              <w:footerReference w:type="even" r:id="rId20"/>
              <w:footerReference w:type="default" r:id="rId21"/>
              <w:headerReference w:type="first" r:id="rId22"/>
              <w:footerReference w:type="first" r:id="rId23"/>
              <w:pgSz w:w="11906" w:h="16838" w:code="9"/>
              <w:pgMar w:top="2302" w:right="1440" w:bottom="567" w:left="1440" w:header="936" w:footer="0" w:gutter="0"/>
              <w:pgNumType w:start="1"/>
              <w:cols w:space="720"/>
              <w:titlePg/>
              <w:docGrid w:linePitch="360"/>
            </w:sectPr>
          </w:pPr>
        </w:p>
        <w:bookmarkStart w:id="1" w:name="CoverPage" w:displacedByCustomXml="next"/>
        <w:bookmarkEnd w:id="1" w:displacedByCustomXml="next"/>
      </w:sdtContent>
    </w:sdt>
    <w:p w14:paraId="136113CE" w14:textId="44C23399" w:rsidR="00431025" w:rsidRDefault="006F2A08" w:rsidP="00BB3305">
      <w:pPr>
        <w:pStyle w:val="AppendixHeading1"/>
      </w:pPr>
      <w:bookmarkStart w:id="2" w:name="_Toc41573217"/>
      <w:r>
        <w:lastRenderedPageBreak/>
        <w:t xml:space="preserve">Strategic Actions </w:t>
      </w:r>
      <w:r w:rsidR="00BB3305">
        <w:t>Sifting Exercise</w:t>
      </w:r>
    </w:p>
    <w:p w14:paraId="1B9B1374" w14:textId="3F353162" w:rsidR="009D4418" w:rsidRDefault="009D4418" w:rsidP="009D4418">
      <w:pPr>
        <w:pStyle w:val="BodyText"/>
      </w:pPr>
      <w:r>
        <w:t xml:space="preserve">This appendix shows the sifting process for the SEA assessment. All the strategic actions in the Climate Strategy were sifted to identify if they were already captured within an SEA process as part of another </w:t>
      </w:r>
      <w:r w:rsidR="003154FF">
        <w:t>plans, programmes</w:t>
      </w:r>
      <w:r>
        <w:t xml:space="preserve"> or strategy.</w:t>
      </w:r>
      <w:r w:rsidR="00F90D57">
        <w:t xml:space="preserve"> If the strategic action was considered to be captured elsewhere it was sifted out the Climate Strategy SEA.</w:t>
      </w:r>
      <w:r w:rsidR="00172D90">
        <w:t xml:space="preserve"> For example, 20-minute neighbourhoods are </w:t>
      </w:r>
      <w:r w:rsidR="00002385">
        <w:t>considered</w:t>
      </w:r>
      <w:r w:rsidR="00172D90">
        <w:t xml:space="preserve"> within the City Mobility Plan SEA and therefore </w:t>
      </w:r>
      <w:r w:rsidR="00002385">
        <w:t>were sifted out of the Climate Strategy SEA.</w:t>
      </w:r>
    </w:p>
    <w:p w14:paraId="389308D3" w14:textId="0F2B7800" w:rsidR="000C042E" w:rsidRPr="009D4418" w:rsidRDefault="006B796F" w:rsidP="008C1CCC">
      <w:pPr>
        <w:pStyle w:val="Figurecaption0"/>
        <w:ind w:left="0"/>
      </w:pPr>
      <w:r>
        <w:t xml:space="preserve">Table </w:t>
      </w:r>
      <w:r w:rsidR="00E7097C">
        <w:t>D.</w:t>
      </w:r>
      <w:r w:rsidR="007341D4">
        <w:fldChar w:fldCharType="begin"/>
      </w:r>
      <w:r w:rsidR="007341D4">
        <w:instrText xml:space="preserve"> SEQ Table \* ARABIC </w:instrText>
      </w:r>
      <w:r w:rsidR="007341D4">
        <w:fldChar w:fldCharType="separate"/>
      </w:r>
      <w:r w:rsidR="00B9775A">
        <w:rPr>
          <w:noProof/>
        </w:rPr>
        <w:t>1</w:t>
      </w:r>
      <w:r w:rsidR="007341D4">
        <w:rPr>
          <w:noProof/>
        </w:rPr>
        <w:fldChar w:fldCharType="end"/>
      </w:r>
      <w:r>
        <w:t xml:space="preserve">: </w:t>
      </w:r>
      <w:r w:rsidR="000445CE">
        <w:t xml:space="preserve">Net Zero, </w:t>
      </w:r>
      <w:r w:rsidRPr="00F62ADF">
        <w:t xml:space="preserve">Climate </w:t>
      </w:r>
      <w:r w:rsidR="000445CE" w:rsidRPr="00F62ADF">
        <w:t>Resilien</w:t>
      </w:r>
      <w:r w:rsidR="000445CE">
        <w:t>t</w:t>
      </w:r>
      <w:r w:rsidR="000445CE" w:rsidRPr="00F62ADF">
        <w:t xml:space="preserve"> </w:t>
      </w:r>
      <w:r w:rsidR="00D02CB1">
        <w:t xml:space="preserve">Development and Growth </w:t>
      </w:r>
      <w:r w:rsidRPr="00F62ADF">
        <w:t>Strategic Action</w:t>
      </w:r>
      <w:r w:rsidR="00B9775A">
        <w:t xml:space="preserve"> Area</w:t>
      </w:r>
      <w:r w:rsidRPr="00F62ADF">
        <w:t xml:space="preserve"> Sift</w:t>
      </w:r>
    </w:p>
    <w:tbl>
      <w:tblPr>
        <w:tblStyle w:val="JacobsTable1accentprimarythemes"/>
        <w:tblW w:w="20381" w:type="dxa"/>
        <w:tblLook w:val="04A0" w:firstRow="1" w:lastRow="0" w:firstColumn="1" w:lastColumn="0" w:noHBand="0" w:noVBand="1"/>
      </w:tblPr>
      <w:tblGrid>
        <w:gridCol w:w="1569"/>
        <w:gridCol w:w="11047"/>
        <w:gridCol w:w="7765"/>
      </w:tblGrid>
      <w:tr w:rsidR="00131DAB" w14:paraId="0FC90194" w14:textId="558D024B" w:rsidTr="00E376F2">
        <w:trPr>
          <w:cnfStyle w:val="100000000000" w:firstRow="1" w:lastRow="0" w:firstColumn="0" w:lastColumn="0" w:oddVBand="0" w:evenVBand="0" w:oddHBand="0" w:evenHBand="0" w:firstRowFirstColumn="0" w:firstRowLastColumn="0" w:lastRowFirstColumn="0" w:lastRowLastColumn="0"/>
          <w:trHeight w:val="144"/>
        </w:trPr>
        <w:tc>
          <w:tcPr>
            <w:tcW w:w="1569" w:type="dxa"/>
          </w:tcPr>
          <w:bookmarkEnd w:id="2"/>
          <w:p w14:paraId="7FBEF21B" w14:textId="43EC2BB0" w:rsidR="00131DAB" w:rsidRDefault="00131DAB" w:rsidP="004A3B93">
            <w:pPr>
              <w:pStyle w:val="BodyText"/>
              <w:spacing w:before="0" w:after="0"/>
            </w:pPr>
            <w:r>
              <w:t>Number</w:t>
            </w:r>
          </w:p>
        </w:tc>
        <w:tc>
          <w:tcPr>
            <w:tcW w:w="11047" w:type="dxa"/>
          </w:tcPr>
          <w:p w14:paraId="5B5B0572" w14:textId="29226823" w:rsidR="00131DAB" w:rsidRDefault="00131DAB" w:rsidP="004A3B93">
            <w:pPr>
              <w:pStyle w:val="BodyText"/>
              <w:spacing w:before="0" w:after="0"/>
            </w:pPr>
            <w:r>
              <w:t xml:space="preserve">Strategic Action </w:t>
            </w:r>
          </w:p>
        </w:tc>
        <w:tc>
          <w:tcPr>
            <w:tcW w:w="7765" w:type="dxa"/>
          </w:tcPr>
          <w:p w14:paraId="6C6435DF" w14:textId="3141A4B9" w:rsidR="00131DAB" w:rsidRDefault="00131DAB" w:rsidP="004A3B93">
            <w:pPr>
              <w:pStyle w:val="BodyText"/>
              <w:spacing w:before="0" w:after="0"/>
            </w:pPr>
            <w:r>
              <w:t>Sift in / out</w:t>
            </w:r>
          </w:p>
        </w:tc>
      </w:tr>
      <w:tr w:rsidR="00131DAB" w:rsidRPr="00B71EB9" w14:paraId="03B421B8" w14:textId="4D2B4AFB" w:rsidTr="00E376F2">
        <w:trPr>
          <w:trHeight w:val="290"/>
        </w:trPr>
        <w:tc>
          <w:tcPr>
            <w:tcW w:w="1569" w:type="dxa"/>
            <w:shd w:val="clear" w:color="auto" w:fill="D3E2FF" w:themeFill="accent4" w:themeFillTint="1A"/>
            <w:noWrap/>
            <w:hideMark/>
          </w:tcPr>
          <w:p w14:paraId="0201A5C0" w14:textId="77777777" w:rsidR="00131DAB" w:rsidRPr="00B71EB9" w:rsidRDefault="00131DAB" w:rsidP="004A3B93">
            <w:pPr>
              <w:spacing w:before="0" w:after="0" w:line="240" w:lineRule="auto"/>
              <w:rPr>
                <w:rFonts w:ascii="Calibri" w:eastAsia="Times New Roman" w:hAnsi="Calibri" w:cs="Calibri"/>
                <w:color w:val="000000"/>
                <w:sz w:val="22"/>
                <w:szCs w:val="22"/>
              </w:rPr>
            </w:pPr>
            <w:r w:rsidRPr="00B71EB9">
              <w:rPr>
                <w:rFonts w:ascii="Calibri" w:eastAsia="Times New Roman" w:hAnsi="Calibri" w:cs="Calibri"/>
                <w:color w:val="000000"/>
                <w:sz w:val="22"/>
                <w:szCs w:val="22"/>
              </w:rPr>
              <w:t>1</w:t>
            </w:r>
          </w:p>
        </w:tc>
        <w:tc>
          <w:tcPr>
            <w:tcW w:w="11047" w:type="dxa"/>
            <w:shd w:val="clear" w:color="auto" w:fill="D3E2FF" w:themeFill="accent4" w:themeFillTint="1A"/>
            <w:vAlign w:val="center"/>
            <w:hideMark/>
          </w:tcPr>
          <w:p w14:paraId="14405972" w14:textId="77777777" w:rsidR="00131DAB" w:rsidRPr="00B71EB9" w:rsidRDefault="00131DAB" w:rsidP="004A3B93">
            <w:pPr>
              <w:spacing w:before="0" w:after="0" w:line="240" w:lineRule="auto"/>
              <w:rPr>
                <w:rFonts w:ascii="Calibri" w:eastAsia="Times New Roman" w:hAnsi="Calibri" w:cs="Calibri"/>
                <w:color w:val="000000"/>
                <w:sz w:val="22"/>
                <w:szCs w:val="22"/>
              </w:rPr>
            </w:pPr>
            <w:r w:rsidRPr="00B71EB9">
              <w:rPr>
                <w:rFonts w:ascii="Calibri" w:eastAsia="Times New Roman" w:hAnsi="Calibri" w:cs="Calibri"/>
                <w:color w:val="000000"/>
                <w:sz w:val="22"/>
                <w:szCs w:val="22"/>
              </w:rPr>
              <w:t>Laying the policy foundations to support net zero development which designs in climate resilience</w:t>
            </w:r>
          </w:p>
        </w:tc>
        <w:tc>
          <w:tcPr>
            <w:tcW w:w="7765" w:type="dxa"/>
            <w:shd w:val="clear" w:color="auto" w:fill="D3E2FF" w:themeFill="accent4" w:themeFillTint="1A"/>
          </w:tcPr>
          <w:p w14:paraId="75D8F426" w14:textId="77777777" w:rsidR="00131DAB" w:rsidRPr="00B71EB9" w:rsidRDefault="00131DAB" w:rsidP="004A3B93">
            <w:pPr>
              <w:spacing w:before="0" w:after="0" w:line="240" w:lineRule="auto"/>
              <w:rPr>
                <w:rFonts w:ascii="Calibri" w:eastAsia="Times New Roman" w:hAnsi="Calibri" w:cs="Calibri"/>
                <w:color w:val="000000"/>
                <w:sz w:val="22"/>
                <w:szCs w:val="22"/>
              </w:rPr>
            </w:pPr>
          </w:p>
        </w:tc>
      </w:tr>
      <w:tr w:rsidR="00131DAB" w:rsidRPr="00DB65BA" w14:paraId="7376880E" w14:textId="3AC642B5" w:rsidTr="00E376F2">
        <w:trPr>
          <w:trHeight w:val="290"/>
        </w:trPr>
        <w:tc>
          <w:tcPr>
            <w:tcW w:w="1569" w:type="dxa"/>
            <w:noWrap/>
            <w:hideMark/>
          </w:tcPr>
          <w:p w14:paraId="307E35E9" w14:textId="568FCBD6"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1.1</w:t>
            </w:r>
          </w:p>
        </w:tc>
        <w:tc>
          <w:tcPr>
            <w:tcW w:w="11047" w:type="dxa"/>
            <w:hideMark/>
          </w:tcPr>
          <w:p w14:paraId="74E6E99B"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Set new planning and policy guidance within the City Plan 2030</w:t>
            </w:r>
          </w:p>
        </w:tc>
        <w:tc>
          <w:tcPr>
            <w:tcW w:w="7765" w:type="dxa"/>
          </w:tcPr>
          <w:p w14:paraId="52A67880" w14:textId="68136A7A"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Out - City Plan</w:t>
            </w:r>
            <w:r>
              <w:rPr>
                <w:rFonts w:ascii="Calibri" w:eastAsia="Times New Roman" w:hAnsi="Calibri" w:cs="Calibri"/>
                <w:color w:val="000000"/>
                <w:sz w:val="22"/>
                <w:szCs w:val="22"/>
              </w:rPr>
              <w:t xml:space="preserve"> </w:t>
            </w:r>
            <w:r w:rsidRPr="00DB65BA">
              <w:rPr>
                <w:rFonts w:ascii="Calibri" w:eastAsia="Times New Roman" w:hAnsi="Calibri" w:cs="Calibri"/>
                <w:color w:val="000000"/>
                <w:sz w:val="22"/>
                <w:szCs w:val="22"/>
              </w:rPr>
              <w:t>Sets out new policies and proposals relating to the development and use of land in the Edinburgh area, and where new infrastructure and community facilities are required (page 6).</w:t>
            </w:r>
          </w:p>
        </w:tc>
      </w:tr>
      <w:tr w:rsidR="00131DAB" w:rsidRPr="00DB65BA" w14:paraId="03EA9A6C" w14:textId="2AD4B674" w:rsidTr="00E376F2">
        <w:trPr>
          <w:trHeight w:val="323"/>
        </w:trPr>
        <w:tc>
          <w:tcPr>
            <w:tcW w:w="1569" w:type="dxa"/>
            <w:noWrap/>
            <w:hideMark/>
          </w:tcPr>
          <w:p w14:paraId="254E6B56"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1.2</w:t>
            </w:r>
          </w:p>
        </w:tc>
        <w:tc>
          <w:tcPr>
            <w:tcW w:w="11047" w:type="dxa"/>
            <w:hideMark/>
          </w:tcPr>
          <w:p w14:paraId="4C788B99"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Work with developers, investors and landowners to deliver net zero climate resilient development of the city</w:t>
            </w:r>
          </w:p>
        </w:tc>
        <w:tc>
          <w:tcPr>
            <w:tcW w:w="7765" w:type="dxa"/>
          </w:tcPr>
          <w:p w14:paraId="589C258A" w14:textId="425EA744"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Out - City Plan</w:t>
            </w:r>
            <w:r>
              <w:rPr>
                <w:rFonts w:ascii="Calibri" w:eastAsia="Times New Roman" w:hAnsi="Calibri" w:cs="Calibri"/>
                <w:color w:val="000000"/>
                <w:sz w:val="22"/>
                <w:szCs w:val="22"/>
              </w:rPr>
              <w:t xml:space="preserve"> </w:t>
            </w:r>
            <w:r w:rsidRPr="00DB65BA">
              <w:rPr>
                <w:rFonts w:ascii="Calibri" w:eastAsia="Times New Roman" w:hAnsi="Calibri" w:cs="Calibri"/>
                <w:color w:val="000000"/>
                <w:sz w:val="22"/>
                <w:szCs w:val="22"/>
              </w:rPr>
              <w:t>Overall objective of the plan is to support future growth of the city to be sustainable and net-zero (page 8). Specifically, the plan aims to ensure that the planning of housing, employment and services addresses the need for net-zero development (page 8). Aim 4 requires all new buildings to be net-zero in their operational emissions and supports the delivery of heat network and energy infrastructure to help Edinburgh transition to net-zero (page 8).</w:t>
            </w:r>
          </w:p>
        </w:tc>
      </w:tr>
      <w:tr w:rsidR="00131DAB" w:rsidRPr="00DB65BA" w14:paraId="30B8B43B" w14:textId="62689C5E" w:rsidTr="00E376F2">
        <w:trPr>
          <w:trHeight w:val="290"/>
        </w:trPr>
        <w:tc>
          <w:tcPr>
            <w:tcW w:w="1569" w:type="dxa"/>
            <w:shd w:val="clear" w:color="auto" w:fill="D3E2FF" w:themeFill="accent4" w:themeFillTint="1A"/>
            <w:noWrap/>
            <w:hideMark/>
          </w:tcPr>
          <w:p w14:paraId="3E06DB1F"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2</w:t>
            </w:r>
          </w:p>
        </w:tc>
        <w:tc>
          <w:tcPr>
            <w:tcW w:w="11047" w:type="dxa"/>
            <w:shd w:val="clear" w:color="auto" w:fill="D3E2FF" w:themeFill="accent4" w:themeFillTint="1A"/>
            <w:hideMark/>
          </w:tcPr>
          <w:p w14:paraId="281109FB"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Re-designing services to meet citizen’s needs locally</w:t>
            </w:r>
          </w:p>
        </w:tc>
        <w:tc>
          <w:tcPr>
            <w:tcW w:w="7765" w:type="dxa"/>
            <w:shd w:val="clear" w:color="auto" w:fill="D3E2FF" w:themeFill="accent4" w:themeFillTint="1A"/>
          </w:tcPr>
          <w:p w14:paraId="57547430" w14:textId="77777777" w:rsidR="00131DAB" w:rsidRPr="00DB65BA" w:rsidRDefault="00131DAB" w:rsidP="004A3B93">
            <w:pPr>
              <w:spacing w:before="0" w:after="0" w:line="240" w:lineRule="auto"/>
              <w:rPr>
                <w:rFonts w:ascii="Calibri" w:eastAsia="Times New Roman" w:hAnsi="Calibri" w:cs="Calibri"/>
                <w:color w:val="000000"/>
                <w:sz w:val="22"/>
                <w:szCs w:val="22"/>
              </w:rPr>
            </w:pPr>
          </w:p>
        </w:tc>
      </w:tr>
      <w:tr w:rsidR="00131DAB" w:rsidRPr="00DB65BA" w14:paraId="1D34BB39" w14:textId="5C1F2CE4" w:rsidTr="00E376F2">
        <w:trPr>
          <w:trHeight w:val="581"/>
        </w:trPr>
        <w:tc>
          <w:tcPr>
            <w:tcW w:w="1569" w:type="dxa"/>
            <w:noWrap/>
            <w:hideMark/>
          </w:tcPr>
          <w:p w14:paraId="38E7114D"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2.1</w:t>
            </w:r>
          </w:p>
        </w:tc>
        <w:tc>
          <w:tcPr>
            <w:tcW w:w="11047" w:type="dxa"/>
            <w:hideMark/>
          </w:tcPr>
          <w:p w14:paraId="138F96F5"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Re-design services and amenities to deliver sustainable 20-minute neighbourhoods across hub locations</w:t>
            </w:r>
          </w:p>
        </w:tc>
        <w:tc>
          <w:tcPr>
            <w:tcW w:w="7765" w:type="dxa"/>
          </w:tcPr>
          <w:p w14:paraId="7B218946" w14:textId="3A5283C9"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Out - City Mobility Plan Section 4: Place aims to create great places which have been designed for people. Within this the CMP advocates several policy measures aimed at creating sustainable places which support the 20-minute neighbourhood concept (page 47). Policy Measure Place 2: 20-Minute Neighbourhoods is covered on page 50.</w:t>
            </w:r>
          </w:p>
        </w:tc>
      </w:tr>
      <w:tr w:rsidR="00131DAB" w:rsidRPr="00DB65BA" w14:paraId="1A8B0939" w14:textId="26156043" w:rsidTr="00E376F2">
        <w:trPr>
          <w:trHeight w:val="290"/>
        </w:trPr>
        <w:tc>
          <w:tcPr>
            <w:tcW w:w="1569" w:type="dxa"/>
            <w:shd w:val="clear" w:color="auto" w:fill="D3E2FF" w:themeFill="accent4" w:themeFillTint="1A"/>
            <w:noWrap/>
            <w:hideMark/>
          </w:tcPr>
          <w:p w14:paraId="056CA22B"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3</w:t>
            </w:r>
          </w:p>
        </w:tc>
        <w:tc>
          <w:tcPr>
            <w:tcW w:w="11047" w:type="dxa"/>
            <w:shd w:val="clear" w:color="auto" w:fill="D3E2FF" w:themeFill="accent4" w:themeFillTint="1A"/>
            <w:hideMark/>
          </w:tcPr>
          <w:p w14:paraId="3395F2A9"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Leading the way on net zero, climate resilient development</w:t>
            </w:r>
          </w:p>
        </w:tc>
        <w:tc>
          <w:tcPr>
            <w:tcW w:w="7765" w:type="dxa"/>
            <w:shd w:val="clear" w:color="auto" w:fill="D3E2FF" w:themeFill="accent4" w:themeFillTint="1A"/>
          </w:tcPr>
          <w:p w14:paraId="5DF7B9BB" w14:textId="77777777" w:rsidR="00131DAB" w:rsidRPr="00DB65BA" w:rsidRDefault="00131DAB" w:rsidP="004A3B93">
            <w:pPr>
              <w:spacing w:before="0" w:after="0" w:line="240" w:lineRule="auto"/>
              <w:rPr>
                <w:rFonts w:ascii="Calibri" w:eastAsia="Times New Roman" w:hAnsi="Calibri" w:cs="Calibri"/>
                <w:color w:val="000000"/>
                <w:sz w:val="22"/>
                <w:szCs w:val="22"/>
              </w:rPr>
            </w:pPr>
          </w:p>
        </w:tc>
      </w:tr>
      <w:tr w:rsidR="00131DAB" w:rsidRPr="00DB65BA" w14:paraId="103E18AF" w14:textId="2601D49A" w:rsidTr="00E376F2">
        <w:trPr>
          <w:trHeight w:val="392"/>
        </w:trPr>
        <w:tc>
          <w:tcPr>
            <w:tcW w:w="1569" w:type="dxa"/>
            <w:noWrap/>
            <w:hideMark/>
          </w:tcPr>
          <w:p w14:paraId="62EDA2A7"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3.1</w:t>
            </w:r>
          </w:p>
        </w:tc>
        <w:tc>
          <w:tcPr>
            <w:tcW w:w="11047" w:type="dxa"/>
            <w:hideMark/>
          </w:tcPr>
          <w:p w14:paraId="5185BD6E"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Work with public sector partners to identify opportunities for exemplar policy approaches for new build operational estate</w:t>
            </w:r>
          </w:p>
        </w:tc>
        <w:tc>
          <w:tcPr>
            <w:tcW w:w="7765" w:type="dxa"/>
          </w:tcPr>
          <w:p w14:paraId="06B4AA3D" w14:textId="1C63FF08"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In</w:t>
            </w:r>
          </w:p>
        </w:tc>
      </w:tr>
      <w:tr w:rsidR="00131DAB" w:rsidRPr="00DB65BA" w14:paraId="071F24F8" w14:textId="2654407B" w:rsidTr="00E376F2">
        <w:trPr>
          <w:trHeight w:val="372"/>
        </w:trPr>
        <w:tc>
          <w:tcPr>
            <w:tcW w:w="1569" w:type="dxa"/>
            <w:noWrap/>
            <w:hideMark/>
          </w:tcPr>
          <w:p w14:paraId="3945A80C"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3.2</w:t>
            </w:r>
          </w:p>
        </w:tc>
        <w:tc>
          <w:tcPr>
            <w:tcW w:w="11047" w:type="dxa"/>
            <w:hideMark/>
          </w:tcPr>
          <w:p w14:paraId="404CB039"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All new Council-led housing developments within the 10-year sustainable housing investment plan will be net zero</w:t>
            </w:r>
          </w:p>
        </w:tc>
        <w:tc>
          <w:tcPr>
            <w:tcW w:w="7765" w:type="dxa"/>
          </w:tcPr>
          <w:p w14:paraId="0C9AB9D1" w14:textId="6142A18B"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In</w:t>
            </w:r>
          </w:p>
        </w:tc>
      </w:tr>
      <w:tr w:rsidR="00131DAB" w:rsidRPr="00DB65BA" w14:paraId="6088BF65" w14:textId="24EAB5FC" w:rsidTr="00E376F2">
        <w:trPr>
          <w:trHeight w:val="636"/>
        </w:trPr>
        <w:tc>
          <w:tcPr>
            <w:tcW w:w="1569" w:type="dxa"/>
            <w:noWrap/>
            <w:hideMark/>
          </w:tcPr>
          <w:p w14:paraId="50D9F012"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3.3</w:t>
            </w:r>
          </w:p>
        </w:tc>
        <w:tc>
          <w:tcPr>
            <w:tcW w:w="11047" w:type="dxa"/>
            <w:hideMark/>
          </w:tcPr>
          <w:p w14:paraId="53DBC24C"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All new build learning estate projects will meet the Scottish Government’s Learning Estate Investment Programme energy target and work towards the Scottish Net Zero Public Sector buildings standard.</w:t>
            </w:r>
          </w:p>
        </w:tc>
        <w:tc>
          <w:tcPr>
            <w:tcW w:w="7765" w:type="dxa"/>
          </w:tcPr>
          <w:p w14:paraId="4C2841B2" w14:textId="261A741A"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In</w:t>
            </w:r>
          </w:p>
        </w:tc>
      </w:tr>
      <w:tr w:rsidR="00131DAB" w:rsidRPr="00DB65BA" w14:paraId="0B2949AA" w14:textId="4AD61A41" w:rsidTr="00E376F2">
        <w:trPr>
          <w:trHeight w:val="581"/>
        </w:trPr>
        <w:tc>
          <w:tcPr>
            <w:tcW w:w="1569" w:type="dxa"/>
            <w:noWrap/>
            <w:hideMark/>
          </w:tcPr>
          <w:p w14:paraId="79237183"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3.4</w:t>
            </w:r>
          </w:p>
        </w:tc>
        <w:tc>
          <w:tcPr>
            <w:tcW w:w="11047" w:type="dxa"/>
            <w:hideMark/>
          </w:tcPr>
          <w:p w14:paraId="5FC6970A"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Develop innovative approaches to net zero development and construction which address both operational and embodied emissions</w:t>
            </w:r>
          </w:p>
        </w:tc>
        <w:tc>
          <w:tcPr>
            <w:tcW w:w="7765" w:type="dxa"/>
          </w:tcPr>
          <w:p w14:paraId="52AA703C" w14:textId="686C5629"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In</w:t>
            </w:r>
          </w:p>
        </w:tc>
      </w:tr>
      <w:tr w:rsidR="00131DAB" w:rsidRPr="00DB65BA" w14:paraId="2FD09EEC" w14:textId="06515595" w:rsidTr="00E376F2">
        <w:trPr>
          <w:trHeight w:val="431"/>
        </w:trPr>
        <w:tc>
          <w:tcPr>
            <w:tcW w:w="1569" w:type="dxa"/>
            <w:noWrap/>
            <w:hideMark/>
          </w:tcPr>
          <w:p w14:paraId="49FBC112"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3.5</w:t>
            </w:r>
          </w:p>
        </w:tc>
        <w:tc>
          <w:tcPr>
            <w:tcW w:w="11047" w:type="dxa"/>
            <w:hideMark/>
          </w:tcPr>
          <w:p w14:paraId="5A2A9FDC"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Develop an off- site net zero construction methodology through the Edinburgh Home Demonstrator (EHD) project</w:t>
            </w:r>
          </w:p>
        </w:tc>
        <w:tc>
          <w:tcPr>
            <w:tcW w:w="7765" w:type="dxa"/>
          </w:tcPr>
          <w:p w14:paraId="720D32DA" w14:textId="659B869B"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In</w:t>
            </w:r>
          </w:p>
        </w:tc>
      </w:tr>
      <w:tr w:rsidR="00131DAB" w:rsidRPr="00DB65BA" w14:paraId="2A1CFCE0" w14:textId="1841DFF0" w:rsidTr="00E376F2">
        <w:trPr>
          <w:trHeight w:val="290"/>
        </w:trPr>
        <w:tc>
          <w:tcPr>
            <w:tcW w:w="1569" w:type="dxa"/>
            <w:shd w:val="clear" w:color="auto" w:fill="D3E2FF" w:themeFill="accent4" w:themeFillTint="1A"/>
            <w:noWrap/>
            <w:hideMark/>
          </w:tcPr>
          <w:p w14:paraId="666E3821"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4</w:t>
            </w:r>
          </w:p>
        </w:tc>
        <w:tc>
          <w:tcPr>
            <w:tcW w:w="11047" w:type="dxa"/>
            <w:shd w:val="clear" w:color="auto" w:fill="D3E2FF" w:themeFill="accent4" w:themeFillTint="1A"/>
            <w:hideMark/>
          </w:tcPr>
          <w:p w14:paraId="2D6C2D92"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Renew the focus on climate resilience and accelerating the adaptation of the city</w:t>
            </w:r>
          </w:p>
        </w:tc>
        <w:tc>
          <w:tcPr>
            <w:tcW w:w="7765" w:type="dxa"/>
            <w:shd w:val="clear" w:color="auto" w:fill="D3E2FF" w:themeFill="accent4" w:themeFillTint="1A"/>
          </w:tcPr>
          <w:p w14:paraId="55CECE3E" w14:textId="77777777" w:rsidR="00131DAB" w:rsidRPr="00DB65BA" w:rsidRDefault="00131DAB" w:rsidP="004A3B93">
            <w:pPr>
              <w:spacing w:before="0" w:after="0" w:line="240" w:lineRule="auto"/>
              <w:rPr>
                <w:rFonts w:ascii="Calibri" w:eastAsia="Times New Roman" w:hAnsi="Calibri" w:cs="Calibri"/>
                <w:color w:val="000000"/>
                <w:sz w:val="22"/>
                <w:szCs w:val="22"/>
              </w:rPr>
            </w:pPr>
          </w:p>
        </w:tc>
      </w:tr>
      <w:tr w:rsidR="00131DAB" w:rsidRPr="00DB65BA" w14:paraId="46CECA1C" w14:textId="455F4DED" w:rsidTr="00E376F2">
        <w:trPr>
          <w:trHeight w:val="385"/>
        </w:trPr>
        <w:tc>
          <w:tcPr>
            <w:tcW w:w="1569" w:type="dxa"/>
            <w:noWrap/>
            <w:hideMark/>
          </w:tcPr>
          <w:p w14:paraId="351DF81D"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4.1</w:t>
            </w:r>
          </w:p>
        </w:tc>
        <w:tc>
          <w:tcPr>
            <w:tcW w:w="11047" w:type="dxa"/>
            <w:hideMark/>
          </w:tcPr>
          <w:p w14:paraId="59C44919"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Undertake a city-wide climate change risk assessment and cost analysis (CWCCRA)</w:t>
            </w:r>
          </w:p>
        </w:tc>
        <w:tc>
          <w:tcPr>
            <w:tcW w:w="7765" w:type="dxa"/>
          </w:tcPr>
          <w:p w14:paraId="125657C1" w14:textId="664F708B"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In</w:t>
            </w:r>
          </w:p>
        </w:tc>
      </w:tr>
      <w:tr w:rsidR="00131DAB" w:rsidRPr="00DB65BA" w14:paraId="63EB8911" w14:textId="71F1F333" w:rsidTr="00E376F2">
        <w:trPr>
          <w:trHeight w:val="663"/>
        </w:trPr>
        <w:tc>
          <w:tcPr>
            <w:tcW w:w="1569" w:type="dxa"/>
            <w:noWrap/>
            <w:hideMark/>
          </w:tcPr>
          <w:p w14:paraId="062C5C08"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4.2</w:t>
            </w:r>
          </w:p>
        </w:tc>
        <w:tc>
          <w:tcPr>
            <w:tcW w:w="11047" w:type="dxa"/>
            <w:hideMark/>
          </w:tcPr>
          <w:p w14:paraId="6ED359CC"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The City of Edinburgh Council will convene city and region partners to collaborate on a long-term ‘Climate Ready Edinburgh’ plan, taking full account of the city’s natural assets.</w:t>
            </w:r>
          </w:p>
        </w:tc>
        <w:tc>
          <w:tcPr>
            <w:tcW w:w="7765" w:type="dxa"/>
          </w:tcPr>
          <w:p w14:paraId="60D9554E" w14:textId="01A30AA0"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In</w:t>
            </w:r>
          </w:p>
        </w:tc>
      </w:tr>
      <w:tr w:rsidR="00131DAB" w:rsidRPr="00DB65BA" w14:paraId="35F6DA7A" w14:textId="6470CCEC" w:rsidTr="00E376F2">
        <w:trPr>
          <w:trHeight w:val="335"/>
        </w:trPr>
        <w:tc>
          <w:tcPr>
            <w:tcW w:w="1569" w:type="dxa"/>
            <w:noWrap/>
            <w:hideMark/>
          </w:tcPr>
          <w:p w14:paraId="5DF64B75"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4.3</w:t>
            </w:r>
          </w:p>
        </w:tc>
        <w:tc>
          <w:tcPr>
            <w:tcW w:w="11047" w:type="dxa"/>
            <w:hideMark/>
          </w:tcPr>
          <w:p w14:paraId="4CB9B220"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Adapt Edinburgh’s World Heritage Site to be resilient to the impacts of climate change</w:t>
            </w:r>
          </w:p>
        </w:tc>
        <w:tc>
          <w:tcPr>
            <w:tcW w:w="7765" w:type="dxa"/>
          </w:tcPr>
          <w:p w14:paraId="56D3C606" w14:textId="0364BCD5"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In</w:t>
            </w:r>
          </w:p>
        </w:tc>
      </w:tr>
      <w:tr w:rsidR="00131DAB" w:rsidRPr="00DB65BA" w14:paraId="21EB6C71" w14:textId="7EB47544" w:rsidTr="00E376F2">
        <w:trPr>
          <w:trHeight w:val="624"/>
        </w:trPr>
        <w:tc>
          <w:tcPr>
            <w:tcW w:w="1569" w:type="dxa"/>
            <w:noWrap/>
            <w:hideMark/>
          </w:tcPr>
          <w:p w14:paraId="5A284FBD"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4.4</w:t>
            </w:r>
          </w:p>
        </w:tc>
        <w:tc>
          <w:tcPr>
            <w:tcW w:w="11047" w:type="dxa"/>
            <w:hideMark/>
          </w:tcPr>
          <w:p w14:paraId="5787E232"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Develop a regional approach to climate change risk assessment and adaptation, maximising opportunities to enhance the natural environment.</w:t>
            </w:r>
          </w:p>
        </w:tc>
        <w:tc>
          <w:tcPr>
            <w:tcW w:w="7765" w:type="dxa"/>
          </w:tcPr>
          <w:p w14:paraId="7E48EA1E" w14:textId="39BEFDF9"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 xml:space="preserve">Out - </w:t>
            </w:r>
            <w:r w:rsidRPr="00DB65BA">
              <w:rPr>
                <w:rFonts w:ascii="Calibri" w:hAnsi="Calibri" w:cs="Calibri"/>
                <w:sz w:val="22"/>
                <w:szCs w:val="22"/>
              </w:rPr>
              <w:t xml:space="preserve">Page 13 of the City Plan ‘Regional Context and Change’. The City Plan will have major influences on the delivery of sustainable transport modes alongside national and </w:t>
            </w:r>
            <w:r w:rsidRPr="00DB65BA">
              <w:rPr>
                <w:rFonts w:ascii="Calibri" w:hAnsi="Calibri" w:cs="Calibri"/>
                <w:b/>
                <w:bCs/>
                <w:sz w:val="22"/>
                <w:szCs w:val="22"/>
              </w:rPr>
              <w:t>regionally</w:t>
            </w:r>
            <w:r w:rsidRPr="00DB65BA">
              <w:rPr>
                <w:rFonts w:ascii="Calibri" w:hAnsi="Calibri" w:cs="Calibri"/>
                <w:sz w:val="22"/>
                <w:szCs w:val="22"/>
              </w:rPr>
              <w:t xml:space="preserve"> focused projects. Throughout the report, recognition is given to the importance of placing focus on the aims of ‘national, regional and local policy drivers’ (page 15).  </w:t>
            </w:r>
          </w:p>
        </w:tc>
      </w:tr>
      <w:tr w:rsidR="00131DAB" w:rsidRPr="00DB65BA" w14:paraId="5D93374A" w14:textId="61886896" w:rsidTr="00E376F2">
        <w:trPr>
          <w:trHeight w:val="290"/>
        </w:trPr>
        <w:tc>
          <w:tcPr>
            <w:tcW w:w="1569" w:type="dxa"/>
            <w:shd w:val="clear" w:color="auto" w:fill="D3E2FF" w:themeFill="accent4" w:themeFillTint="1A"/>
            <w:noWrap/>
            <w:hideMark/>
          </w:tcPr>
          <w:p w14:paraId="44425423"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5</w:t>
            </w:r>
          </w:p>
        </w:tc>
        <w:tc>
          <w:tcPr>
            <w:tcW w:w="11047" w:type="dxa"/>
            <w:shd w:val="clear" w:color="auto" w:fill="D3E2FF" w:themeFill="accent4" w:themeFillTint="1A"/>
            <w:hideMark/>
          </w:tcPr>
          <w:p w14:paraId="3FA2A4A5"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Developing a long-term and sustainable approach to water management across the city</w:t>
            </w:r>
          </w:p>
        </w:tc>
        <w:tc>
          <w:tcPr>
            <w:tcW w:w="7765" w:type="dxa"/>
            <w:shd w:val="clear" w:color="auto" w:fill="D3E2FF" w:themeFill="accent4" w:themeFillTint="1A"/>
          </w:tcPr>
          <w:p w14:paraId="0007B597" w14:textId="77777777" w:rsidR="00131DAB" w:rsidRPr="00DB65BA" w:rsidRDefault="00131DAB" w:rsidP="004A3B93">
            <w:pPr>
              <w:spacing w:before="0" w:after="0" w:line="240" w:lineRule="auto"/>
              <w:rPr>
                <w:rFonts w:ascii="Calibri" w:eastAsia="Times New Roman" w:hAnsi="Calibri" w:cs="Calibri"/>
                <w:color w:val="000000"/>
                <w:sz w:val="22"/>
                <w:szCs w:val="22"/>
              </w:rPr>
            </w:pPr>
          </w:p>
        </w:tc>
      </w:tr>
      <w:tr w:rsidR="00131DAB" w:rsidRPr="00DB65BA" w14:paraId="3387665D" w14:textId="17B8AA00" w:rsidTr="00E376F2">
        <w:trPr>
          <w:trHeight w:val="581"/>
        </w:trPr>
        <w:tc>
          <w:tcPr>
            <w:tcW w:w="1569" w:type="dxa"/>
            <w:noWrap/>
            <w:hideMark/>
          </w:tcPr>
          <w:p w14:paraId="73BCFA8E"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5.1</w:t>
            </w:r>
          </w:p>
        </w:tc>
        <w:tc>
          <w:tcPr>
            <w:tcW w:w="11047" w:type="dxa"/>
            <w:hideMark/>
          </w:tcPr>
          <w:p w14:paraId="33E51046"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Deliver a Water Management Vision and Strategy identifying the risks and co-ordinating actions to alleviate impacts from all sources of flooding in the city.</w:t>
            </w:r>
          </w:p>
        </w:tc>
        <w:tc>
          <w:tcPr>
            <w:tcW w:w="7765" w:type="dxa"/>
          </w:tcPr>
          <w:p w14:paraId="1A1E2C3D" w14:textId="68D42D0B"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In</w:t>
            </w:r>
          </w:p>
        </w:tc>
      </w:tr>
      <w:tr w:rsidR="00131DAB" w:rsidRPr="00DB65BA" w14:paraId="376BB994" w14:textId="1E2C4B37" w:rsidTr="00E376F2">
        <w:trPr>
          <w:trHeight w:val="581"/>
        </w:trPr>
        <w:tc>
          <w:tcPr>
            <w:tcW w:w="1569" w:type="dxa"/>
            <w:noWrap/>
            <w:hideMark/>
          </w:tcPr>
          <w:p w14:paraId="6C6EC2F1"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lastRenderedPageBreak/>
              <w:t>5.2</w:t>
            </w:r>
          </w:p>
        </w:tc>
        <w:tc>
          <w:tcPr>
            <w:tcW w:w="11047" w:type="dxa"/>
            <w:hideMark/>
          </w:tcPr>
          <w:p w14:paraId="70398A7D"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Integrate design for water and flooding within the urban landscape using blue-green infrastructure</w:t>
            </w:r>
          </w:p>
        </w:tc>
        <w:tc>
          <w:tcPr>
            <w:tcW w:w="7765" w:type="dxa"/>
          </w:tcPr>
          <w:p w14:paraId="6BF4B01F" w14:textId="22487FCC"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In</w:t>
            </w:r>
          </w:p>
        </w:tc>
      </w:tr>
      <w:tr w:rsidR="00131DAB" w:rsidRPr="00DB65BA" w14:paraId="0E192BF1" w14:textId="6BB90FB8" w:rsidTr="00E376F2">
        <w:trPr>
          <w:trHeight w:val="685"/>
        </w:trPr>
        <w:tc>
          <w:tcPr>
            <w:tcW w:w="1569" w:type="dxa"/>
            <w:noWrap/>
            <w:hideMark/>
          </w:tcPr>
          <w:p w14:paraId="3ABB3A22"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5.3</w:t>
            </w:r>
          </w:p>
        </w:tc>
        <w:tc>
          <w:tcPr>
            <w:tcW w:w="11047" w:type="dxa"/>
            <w:hideMark/>
          </w:tcPr>
          <w:p w14:paraId="3BB1FC40"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Deliver a network of green and blue spaces across the city which help protect our communities from climate change impacts, provide active travel routes, and protect and enhance the city’s natural environment and biodiversity</w:t>
            </w:r>
          </w:p>
        </w:tc>
        <w:tc>
          <w:tcPr>
            <w:tcW w:w="7765" w:type="dxa"/>
          </w:tcPr>
          <w:p w14:paraId="3B8C1DA3" w14:textId="594A4760"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 xml:space="preserve">Out </w:t>
            </w:r>
            <w:r>
              <w:rPr>
                <w:rFonts w:ascii="Calibri" w:eastAsia="Times New Roman" w:hAnsi="Calibri" w:cs="Calibri"/>
                <w:color w:val="000000"/>
                <w:sz w:val="22"/>
                <w:szCs w:val="22"/>
              </w:rPr>
              <w:t>–</w:t>
            </w:r>
            <w:r w:rsidRPr="00DB65BA">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 xml:space="preserve">City </w:t>
            </w:r>
            <w:r w:rsidRPr="00DB65BA">
              <w:rPr>
                <w:rFonts w:ascii="Calibri" w:eastAsia="Times New Roman" w:hAnsi="Calibri" w:cs="Calibri"/>
                <w:color w:val="000000"/>
                <w:sz w:val="22"/>
                <w:szCs w:val="22"/>
              </w:rPr>
              <w:t>Plan Aim 1 seeks to deliver green and blue networks, bringing community services closer to homes (page 8). Further information on the Green Blue network can be found on page 22 – outlining that this form of infrastructure (</w:t>
            </w:r>
            <w:proofErr w:type="spellStart"/>
            <w:r w:rsidRPr="00DB65BA">
              <w:rPr>
                <w:rFonts w:ascii="Calibri" w:eastAsia="Times New Roman" w:hAnsi="Calibri" w:cs="Calibri"/>
                <w:color w:val="000000"/>
                <w:sz w:val="22"/>
                <w:szCs w:val="22"/>
              </w:rPr>
              <w:t>e.g</w:t>
            </w:r>
            <w:proofErr w:type="spellEnd"/>
            <w:r w:rsidRPr="00DB65BA">
              <w:rPr>
                <w:rFonts w:ascii="Calibri" w:eastAsia="Times New Roman" w:hAnsi="Calibri" w:cs="Calibri"/>
                <w:color w:val="000000"/>
                <w:sz w:val="22"/>
                <w:szCs w:val="22"/>
              </w:rPr>
              <w:t xml:space="preserve"> greenspaces and watercourses) are significant assets to the city with multifunctional value.</w:t>
            </w:r>
          </w:p>
        </w:tc>
      </w:tr>
      <w:tr w:rsidR="00131DAB" w:rsidRPr="00DB65BA" w14:paraId="734CF5DA" w14:textId="60BC319C" w:rsidTr="00E376F2">
        <w:trPr>
          <w:trHeight w:val="290"/>
        </w:trPr>
        <w:tc>
          <w:tcPr>
            <w:tcW w:w="1569" w:type="dxa"/>
            <w:shd w:val="clear" w:color="auto" w:fill="D3E2FF" w:themeFill="accent4" w:themeFillTint="1A"/>
            <w:noWrap/>
            <w:hideMark/>
          </w:tcPr>
          <w:p w14:paraId="7A215456"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6</w:t>
            </w:r>
          </w:p>
        </w:tc>
        <w:tc>
          <w:tcPr>
            <w:tcW w:w="11047" w:type="dxa"/>
            <w:shd w:val="clear" w:color="auto" w:fill="D3E2FF" w:themeFill="accent4" w:themeFillTint="1A"/>
            <w:hideMark/>
          </w:tcPr>
          <w:p w14:paraId="6BAD52C3"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Protecting and enhancing the city’s natural capital to improve health and well-being, capture carbon, and deliver nature-based solutions to climate resilience</w:t>
            </w:r>
          </w:p>
        </w:tc>
        <w:tc>
          <w:tcPr>
            <w:tcW w:w="7765" w:type="dxa"/>
            <w:shd w:val="clear" w:color="auto" w:fill="D3E2FF" w:themeFill="accent4" w:themeFillTint="1A"/>
          </w:tcPr>
          <w:p w14:paraId="7D431699" w14:textId="77777777" w:rsidR="00131DAB" w:rsidRPr="00DB65BA" w:rsidRDefault="00131DAB" w:rsidP="004A3B93">
            <w:pPr>
              <w:spacing w:before="0" w:after="0" w:line="240" w:lineRule="auto"/>
              <w:rPr>
                <w:rFonts w:ascii="Calibri" w:eastAsia="Times New Roman" w:hAnsi="Calibri" w:cs="Calibri"/>
                <w:color w:val="000000"/>
                <w:sz w:val="22"/>
                <w:szCs w:val="22"/>
              </w:rPr>
            </w:pPr>
          </w:p>
        </w:tc>
      </w:tr>
      <w:tr w:rsidR="00131DAB" w:rsidRPr="00DB65BA" w14:paraId="104BE0D5" w14:textId="4CAF48EC" w:rsidTr="00E376F2">
        <w:trPr>
          <w:trHeight w:val="581"/>
        </w:trPr>
        <w:tc>
          <w:tcPr>
            <w:tcW w:w="1569" w:type="dxa"/>
            <w:noWrap/>
            <w:hideMark/>
          </w:tcPr>
          <w:p w14:paraId="6A80A580"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6.1</w:t>
            </w:r>
          </w:p>
        </w:tc>
        <w:tc>
          <w:tcPr>
            <w:tcW w:w="11047" w:type="dxa"/>
            <w:hideMark/>
          </w:tcPr>
          <w:p w14:paraId="645A22B3"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Deliver a co-ordinated approach to managing and enhancing Edinburgh’s natural assets across key public sector operational estate sites</w:t>
            </w:r>
          </w:p>
        </w:tc>
        <w:tc>
          <w:tcPr>
            <w:tcW w:w="7765" w:type="dxa"/>
          </w:tcPr>
          <w:p w14:paraId="69316A71" w14:textId="1A771542"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In</w:t>
            </w:r>
          </w:p>
        </w:tc>
      </w:tr>
      <w:tr w:rsidR="00131DAB" w:rsidRPr="00DB65BA" w14:paraId="5970B734" w14:textId="7B1C6A9D" w:rsidTr="00E376F2">
        <w:trPr>
          <w:trHeight w:val="569"/>
        </w:trPr>
        <w:tc>
          <w:tcPr>
            <w:tcW w:w="1569" w:type="dxa"/>
            <w:noWrap/>
            <w:hideMark/>
          </w:tcPr>
          <w:p w14:paraId="49FD024D"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6.2</w:t>
            </w:r>
          </w:p>
        </w:tc>
        <w:tc>
          <w:tcPr>
            <w:tcW w:w="11047" w:type="dxa"/>
            <w:hideMark/>
          </w:tcPr>
          <w:p w14:paraId="0A4E2349" w14:textId="2B3A8C86"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 xml:space="preserve">Deliver a city-wide programme to manage, protect and enhance greenspace and biodiversity – addressing the ecological and climate emergencies </w:t>
            </w:r>
          </w:p>
        </w:tc>
        <w:tc>
          <w:tcPr>
            <w:tcW w:w="7765" w:type="dxa"/>
          </w:tcPr>
          <w:p w14:paraId="31360D48" w14:textId="2B8C56FE"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In</w:t>
            </w:r>
          </w:p>
        </w:tc>
      </w:tr>
      <w:tr w:rsidR="00131DAB" w:rsidRPr="00DB65BA" w14:paraId="02405D51" w14:textId="1A051CCB" w:rsidTr="00E376F2">
        <w:trPr>
          <w:trHeight w:val="290"/>
        </w:trPr>
        <w:tc>
          <w:tcPr>
            <w:tcW w:w="1569" w:type="dxa"/>
            <w:noWrap/>
            <w:hideMark/>
          </w:tcPr>
          <w:p w14:paraId="54312F9D"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6.3</w:t>
            </w:r>
          </w:p>
        </w:tc>
        <w:tc>
          <w:tcPr>
            <w:tcW w:w="11047" w:type="dxa"/>
            <w:hideMark/>
          </w:tcPr>
          <w:p w14:paraId="7DFC7F2F"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Deliver nature-based solutions to the impacts of climate change</w:t>
            </w:r>
          </w:p>
        </w:tc>
        <w:tc>
          <w:tcPr>
            <w:tcW w:w="7765" w:type="dxa"/>
          </w:tcPr>
          <w:p w14:paraId="359B5415" w14:textId="71710A40"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Out - City Plan</w:t>
            </w:r>
            <w:r w:rsidRPr="00DB65BA">
              <w:rPr>
                <w:rFonts w:ascii="Calibri" w:hAnsi="Calibri" w:cs="Calibri"/>
                <w:sz w:val="22"/>
                <w:szCs w:val="22"/>
              </w:rPr>
              <w:t xml:space="preserve"> The main reference to nature-based solutions is provided in Env 35 ‘Reducing Flood Risk’ (page 118). Here, it is suggested that mitigating measures against flood risk must be appropriate in planning terms and have fully explored sustainable, nature-based solutions as the optimal way to address adverse flood risk impacts.</w:t>
            </w:r>
          </w:p>
        </w:tc>
      </w:tr>
      <w:tr w:rsidR="00131DAB" w:rsidRPr="00DB65BA" w14:paraId="6E51001B" w14:textId="79D7668E" w:rsidTr="00E376F2">
        <w:trPr>
          <w:trHeight w:val="290"/>
        </w:trPr>
        <w:tc>
          <w:tcPr>
            <w:tcW w:w="1569" w:type="dxa"/>
            <w:noWrap/>
            <w:hideMark/>
          </w:tcPr>
          <w:p w14:paraId="7A48AD76"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6.4</w:t>
            </w:r>
          </w:p>
        </w:tc>
        <w:tc>
          <w:tcPr>
            <w:tcW w:w="11047" w:type="dxa"/>
            <w:hideMark/>
          </w:tcPr>
          <w:p w14:paraId="51337B2F"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Develop an Edinburgh Nature Network for the city</w:t>
            </w:r>
          </w:p>
        </w:tc>
        <w:tc>
          <w:tcPr>
            <w:tcW w:w="7765" w:type="dxa"/>
          </w:tcPr>
          <w:p w14:paraId="62C03640" w14:textId="00366684"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In</w:t>
            </w:r>
          </w:p>
        </w:tc>
      </w:tr>
      <w:tr w:rsidR="00131DAB" w:rsidRPr="00DB65BA" w14:paraId="3D78EA89" w14:textId="55D2AC82" w:rsidTr="00E376F2">
        <w:trPr>
          <w:trHeight w:val="290"/>
        </w:trPr>
        <w:tc>
          <w:tcPr>
            <w:tcW w:w="1569" w:type="dxa"/>
            <w:shd w:val="clear" w:color="auto" w:fill="D3E2FF" w:themeFill="accent4" w:themeFillTint="1A"/>
            <w:noWrap/>
            <w:hideMark/>
          </w:tcPr>
          <w:p w14:paraId="03CE75BC"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7</w:t>
            </w:r>
          </w:p>
        </w:tc>
        <w:tc>
          <w:tcPr>
            <w:tcW w:w="11047" w:type="dxa"/>
            <w:shd w:val="clear" w:color="auto" w:fill="D3E2FF" w:themeFill="accent4" w:themeFillTint="1A"/>
            <w:hideMark/>
          </w:tcPr>
          <w:p w14:paraId="22875948"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Protecting the City’s coast</w:t>
            </w:r>
          </w:p>
        </w:tc>
        <w:tc>
          <w:tcPr>
            <w:tcW w:w="7765" w:type="dxa"/>
            <w:shd w:val="clear" w:color="auto" w:fill="D3E2FF" w:themeFill="accent4" w:themeFillTint="1A"/>
          </w:tcPr>
          <w:p w14:paraId="42A0CAC8" w14:textId="77777777" w:rsidR="00131DAB" w:rsidRPr="00DB65BA" w:rsidRDefault="00131DAB" w:rsidP="004A3B93">
            <w:pPr>
              <w:spacing w:before="0" w:after="0" w:line="240" w:lineRule="auto"/>
              <w:rPr>
                <w:rFonts w:ascii="Calibri" w:eastAsia="Times New Roman" w:hAnsi="Calibri" w:cs="Calibri"/>
                <w:color w:val="000000"/>
                <w:sz w:val="22"/>
                <w:szCs w:val="22"/>
              </w:rPr>
            </w:pPr>
          </w:p>
        </w:tc>
      </w:tr>
      <w:tr w:rsidR="00131DAB" w:rsidRPr="00DB65BA" w14:paraId="0463D1AB" w14:textId="03105C7F" w:rsidTr="00E376F2">
        <w:trPr>
          <w:trHeight w:val="565"/>
        </w:trPr>
        <w:tc>
          <w:tcPr>
            <w:tcW w:w="1569" w:type="dxa"/>
            <w:noWrap/>
            <w:hideMark/>
          </w:tcPr>
          <w:p w14:paraId="62CA5944"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7.1</w:t>
            </w:r>
          </w:p>
        </w:tc>
        <w:tc>
          <w:tcPr>
            <w:tcW w:w="11047" w:type="dxa"/>
            <w:hideMark/>
          </w:tcPr>
          <w:p w14:paraId="07CF7B32"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Adapt the city’s coast to be resilient to climate change, beginning with delivering around 200 hectares of new and enhanced coastal park in Granton in north west Edinburgh.</w:t>
            </w:r>
          </w:p>
        </w:tc>
        <w:tc>
          <w:tcPr>
            <w:tcW w:w="7765" w:type="dxa"/>
          </w:tcPr>
          <w:p w14:paraId="59B600AA" w14:textId="508825DF"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Out - City Plan</w:t>
            </w:r>
            <w:r>
              <w:rPr>
                <w:rFonts w:ascii="Calibri" w:eastAsia="Times New Roman" w:hAnsi="Calibri" w:cs="Calibri"/>
                <w:color w:val="000000"/>
                <w:sz w:val="22"/>
                <w:szCs w:val="22"/>
              </w:rPr>
              <w:t xml:space="preserve"> </w:t>
            </w:r>
            <w:r w:rsidRPr="00DB65BA">
              <w:rPr>
                <w:rFonts w:ascii="Calibri" w:eastAsia="Times New Roman" w:hAnsi="Calibri" w:cs="Calibri"/>
                <w:color w:val="000000"/>
                <w:sz w:val="22"/>
                <w:szCs w:val="22"/>
              </w:rPr>
              <w:t>Env 35 Reducing Flood Risk (page 118) outlines the principles for ensuring that Edinburgh’s coast will be resilient to climate change. Specific reference to Granton is given on page 160 (BGN24). Further information on Coastal Granton is provided on page 51.</w:t>
            </w:r>
          </w:p>
        </w:tc>
      </w:tr>
      <w:tr w:rsidR="00131DAB" w:rsidRPr="00DB65BA" w14:paraId="61B212C1" w14:textId="4B905F71" w:rsidTr="00E376F2">
        <w:trPr>
          <w:trHeight w:val="290"/>
        </w:trPr>
        <w:tc>
          <w:tcPr>
            <w:tcW w:w="1569" w:type="dxa"/>
            <w:shd w:val="clear" w:color="auto" w:fill="D3E2FF" w:themeFill="accent4" w:themeFillTint="1A"/>
            <w:noWrap/>
            <w:hideMark/>
          </w:tcPr>
          <w:p w14:paraId="36872996"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8</w:t>
            </w:r>
          </w:p>
        </w:tc>
        <w:tc>
          <w:tcPr>
            <w:tcW w:w="11047" w:type="dxa"/>
            <w:shd w:val="clear" w:color="auto" w:fill="D3E2FF" w:themeFill="accent4" w:themeFillTint="1A"/>
            <w:hideMark/>
          </w:tcPr>
          <w:p w14:paraId="7A531DFB"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Delivering rapid whole-system change</w:t>
            </w:r>
          </w:p>
        </w:tc>
        <w:tc>
          <w:tcPr>
            <w:tcW w:w="7765" w:type="dxa"/>
            <w:shd w:val="clear" w:color="auto" w:fill="D3E2FF" w:themeFill="accent4" w:themeFillTint="1A"/>
          </w:tcPr>
          <w:p w14:paraId="27A9420D" w14:textId="77777777" w:rsidR="00131DAB" w:rsidRPr="00DB65BA" w:rsidRDefault="00131DAB" w:rsidP="004A3B93">
            <w:pPr>
              <w:spacing w:before="0" w:after="0" w:line="240" w:lineRule="auto"/>
              <w:rPr>
                <w:rFonts w:ascii="Calibri" w:eastAsia="Times New Roman" w:hAnsi="Calibri" w:cs="Calibri"/>
                <w:color w:val="000000"/>
                <w:sz w:val="22"/>
                <w:szCs w:val="22"/>
              </w:rPr>
            </w:pPr>
          </w:p>
        </w:tc>
      </w:tr>
      <w:tr w:rsidR="00131DAB" w:rsidRPr="00DB65BA" w14:paraId="10C7600D" w14:textId="2C6D78A8" w:rsidTr="00E376F2">
        <w:trPr>
          <w:trHeight w:val="566"/>
        </w:trPr>
        <w:tc>
          <w:tcPr>
            <w:tcW w:w="1569" w:type="dxa"/>
            <w:noWrap/>
            <w:hideMark/>
          </w:tcPr>
          <w:p w14:paraId="07865799"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8.1</w:t>
            </w:r>
          </w:p>
        </w:tc>
        <w:tc>
          <w:tcPr>
            <w:tcW w:w="11047" w:type="dxa"/>
            <w:hideMark/>
          </w:tcPr>
          <w:p w14:paraId="47DB481F"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Call on the Scottish Government to use the lessons from responding to Covid-19 to enable accelerated local action and decision making on tackling the climate emergency.</w:t>
            </w:r>
          </w:p>
        </w:tc>
        <w:tc>
          <w:tcPr>
            <w:tcW w:w="7765" w:type="dxa"/>
          </w:tcPr>
          <w:p w14:paraId="440AA8B6" w14:textId="46D3F59F"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Out - City Mobility Plan</w:t>
            </w:r>
            <w:r w:rsidRPr="00DB65BA">
              <w:rPr>
                <w:rFonts w:ascii="Calibri" w:hAnsi="Calibri" w:cs="Calibri"/>
                <w:sz w:val="22"/>
                <w:szCs w:val="22"/>
              </w:rPr>
              <w:t xml:space="preserve"> Page 12 ‘Covid-19 Impacts and Recovery’ of the </w:t>
            </w:r>
            <w:r w:rsidRPr="00DB65BA">
              <w:rPr>
                <w:rFonts w:ascii="Calibri" w:hAnsi="Calibri" w:cs="Calibri"/>
                <w:b/>
                <w:bCs/>
                <w:sz w:val="22"/>
                <w:szCs w:val="22"/>
              </w:rPr>
              <w:t>City Mobility Plan.</w:t>
            </w:r>
            <w:r w:rsidRPr="00DB65BA">
              <w:rPr>
                <w:rFonts w:ascii="Calibri" w:hAnsi="Calibri" w:cs="Calibri"/>
                <w:sz w:val="22"/>
                <w:szCs w:val="22"/>
              </w:rPr>
              <w:t xml:space="preserve"> This section speaks about the opportunity to embed some of the beneficial outcomes of lower traffic levels (more walking and cycling, local trip-making etc.). There is also opportunity around addressing changes in peak time travel patterns with more flexible working. Hence, in response to Covid-19, measures can be implemented to support safe and efficient forms of travel that supports the fight against climate change and encourages sustainable economic growth.  </w:t>
            </w:r>
          </w:p>
        </w:tc>
      </w:tr>
      <w:tr w:rsidR="00131DAB" w:rsidRPr="00DB65BA" w14:paraId="73F4288A" w14:textId="5645BB83" w:rsidTr="00E376F2">
        <w:trPr>
          <w:trHeight w:val="290"/>
        </w:trPr>
        <w:tc>
          <w:tcPr>
            <w:tcW w:w="1569" w:type="dxa"/>
            <w:shd w:val="clear" w:color="auto" w:fill="D3E2FF" w:themeFill="accent4" w:themeFillTint="1A"/>
            <w:noWrap/>
            <w:hideMark/>
          </w:tcPr>
          <w:p w14:paraId="09D07C42"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9</w:t>
            </w:r>
          </w:p>
        </w:tc>
        <w:tc>
          <w:tcPr>
            <w:tcW w:w="11047" w:type="dxa"/>
            <w:shd w:val="clear" w:color="auto" w:fill="D3E2FF" w:themeFill="accent4" w:themeFillTint="1A"/>
            <w:hideMark/>
          </w:tcPr>
          <w:p w14:paraId="1E3BB750"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Shared risk-taking to develop innovative solutions</w:t>
            </w:r>
          </w:p>
        </w:tc>
        <w:tc>
          <w:tcPr>
            <w:tcW w:w="7765" w:type="dxa"/>
            <w:shd w:val="clear" w:color="auto" w:fill="D3E2FF" w:themeFill="accent4" w:themeFillTint="1A"/>
          </w:tcPr>
          <w:p w14:paraId="2981C06B" w14:textId="77777777" w:rsidR="00131DAB" w:rsidRPr="00DB65BA" w:rsidRDefault="00131DAB" w:rsidP="004A3B93">
            <w:pPr>
              <w:spacing w:before="0" w:after="0" w:line="240" w:lineRule="auto"/>
              <w:rPr>
                <w:rFonts w:ascii="Calibri" w:eastAsia="Times New Roman" w:hAnsi="Calibri" w:cs="Calibri"/>
                <w:color w:val="000000"/>
                <w:sz w:val="22"/>
                <w:szCs w:val="22"/>
              </w:rPr>
            </w:pPr>
          </w:p>
        </w:tc>
      </w:tr>
      <w:tr w:rsidR="00131DAB" w:rsidRPr="00DB65BA" w14:paraId="01DE6D42" w14:textId="088726C5" w:rsidTr="00E376F2">
        <w:trPr>
          <w:trHeight w:val="566"/>
        </w:trPr>
        <w:tc>
          <w:tcPr>
            <w:tcW w:w="1569" w:type="dxa"/>
            <w:noWrap/>
            <w:hideMark/>
          </w:tcPr>
          <w:p w14:paraId="78C423F9"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9.1</w:t>
            </w:r>
          </w:p>
        </w:tc>
        <w:tc>
          <w:tcPr>
            <w:tcW w:w="11047" w:type="dxa"/>
            <w:hideMark/>
          </w:tcPr>
          <w:p w14:paraId="17A512C0"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Call on the Scottish Government to collaborate with the City of Edinburgh Council on shared risk-taking to develop innovative solutions to tackling climate change.</w:t>
            </w:r>
          </w:p>
        </w:tc>
        <w:tc>
          <w:tcPr>
            <w:tcW w:w="7765" w:type="dxa"/>
          </w:tcPr>
          <w:p w14:paraId="5EE9189A" w14:textId="69EB48E3"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Out - City Mobility Plan</w:t>
            </w:r>
            <w:r w:rsidRPr="00DB65BA">
              <w:rPr>
                <w:rFonts w:ascii="Calibri" w:hAnsi="Calibri" w:cs="Calibri"/>
                <w:sz w:val="22"/>
                <w:szCs w:val="22"/>
              </w:rPr>
              <w:t xml:space="preserve"> Chapter 6 of the City Mobility Plan ‘Implementation’ (page 55) recognises that the successful delivery of the CMP/Implementation Plan will depend on effective partnerships with governance structures that guide regional transport infrastructure and planning e.g., Transport Scotland. With this, recognition is given to risk management – whereby risks to the delivery of key projects will form part of the monitoring process and ways to manage/monitor these risks will be explored.</w:t>
            </w:r>
          </w:p>
        </w:tc>
      </w:tr>
      <w:tr w:rsidR="00131DAB" w:rsidRPr="00DB65BA" w14:paraId="1EDA3687" w14:textId="11453FD3" w:rsidTr="00E376F2">
        <w:trPr>
          <w:trHeight w:val="290"/>
        </w:trPr>
        <w:tc>
          <w:tcPr>
            <w:tcW w:w="1569" w:type="dxa"/>
            <w:shd w:val="clear" w:color="auto" w:fill="D3E2FF" w:themeFill="accent4" w:themeFillTint="1A"/>
            <w:noWrap/>
            <w:hideMark/>
          </w:tcPr>
          <w:p w14:paraId="3BECAA8D"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10</w:t>
            </w:r>
          </w:p>
        </w:tc>
        <w:tc>
          <w:tcPr>
            <w:tcW w:w="11047" w:type="dxa"/>
            <w:shd w:val="clear" w:color="auto" w:fill="D3E2FF" w:themeFill="accent4" w:themeFillTint="1A"/>
            <w:hideMark/>
          </w:tcPr>
          <w:p w14:paraId="0157C2D6"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Embedding net zero climate resilient requirements</w:t>
            </w:r>
          </w:p>
        </w:tc>
        <w:tc>
          <w:tcPr>
            <w:tcW w:w="7765" w:type="dxa"/>
            <w:shd w:val="clear" w:color="auto" w:fill="D3E2FF" w:themeFill="accent4" w:themeFillTint="1A"/>
          </w:tcPr>
          <w:p w14:paraId="5B4F3C78" w14:textId="77777777" w:rsidR="00131DAB" w:rsidRPr="00DB65BA" w:rsidRDefault="00131DAB" w:rsidP="004A3B93">
            <w:pPr>
              <w:spacing w:before="0" w:after="0" w:line="240" w:lineRule="auto"/>
              <w:rPr>
                <w:rFonts w:ascii="Calibri" w:eastAsia="Times New Roman" w:hAnsi="Calibri" w:cs="Calibri"/>
                <w:color w:val="000000"/>
                <w:sz w:val="22"/>
                <w:szCs w:val="22"/>
              </w:rPr>
            </w:pPr>
          </w:p>
        </w:tc>
      </w:tr>
      <w:tr w:rsidR="00131DAB" w:rsidRPr="00DB65BA" w14:paraId="01485ADF" w14:textId="41D0DB47" w:rsidTr="00E376F2">
        <w:trPr>
          <w:trHeight w:val="580"/>
        </w:trPr>
        <w:tc>
          <w:tcPr>
            <w:tcW w:w="1569" w:type="dxa"/>
            <w:noWrap/>
            <w:hideMark/>
          </w:tcPr>
          <w:p w14:paraId="346AA805"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10.1</w:t>
            </w:r>
          </w:p>
        </w:tc>
        <w:tc>
          <w:tcPr>
            <w:tcW w:w="11047" w:type="dxa"/>
            <w:hideMark/>
          </w:tcPr>
          <w:p w14:paraId="7ABC9806"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Call on the Scottish Government to embed net zero and climate resilience requirements into new and existing policy, legislation, regulations and statutory guidance.</w:t>
            </w:r>
          </w:p>
        </w:tc>
        <w:tc>
          <w:tcPr>
            <w:tcW w:w="7765" w:type="dxa"/>
          </w:tcPr>
          <w:p w14:paraId="17624B70" w14:textId="35587C56"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In</w:t>
            </w:r>
          </w:p>
        </w:tc>
      </w:tr>
      <w:tr w:rsidR="00131DAB" w:rsidRPr="00DB65BA" w14:paraId="04FD15B5" w14:textId="30AD4E22" w:rsidTr="00E376F2">
        <w:trPr>
          <w:trHeight w:val="661"/>
        </w:trPr>
        <w:tc>
          <w:tcPr>
            <w:tcW w:w="1569" w:type="dxa"/>
            <w:noWrap/>
            <w:hideMark/>
          </w:tcPr>
          <w:p w14:paraId="4FD2D1C3"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10.2</w:t>
            </w:r>
          </w:p>
        </w:tc>
        <w:tc>
          <w:tcPr>
            <w:tcW w:w="11047" w:type="dxa"/>
            <w:hideMark/>
          </w:tcPr>
          <w:p w14:paraId="65C5FAE2" w14:textId="77777777"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Call on Scottish Government to ensure Local Authorities have the powers and resources required to accelerate the pace of energy efficiency and climate resilience improvements to multi tenure tenement buildings.</w:t>
            </w:r>
          </w:p>
        </w:tc>
        <w:tc>
          <w:tcPr>
            <w:tcW w:w="7765" w:type="dxa"/>
          </w:tcPr>
          <w:p w14:paraId="1137F0FE" w14:textId="7C2742B5" w:rsidR="00131DAB" w:rsidRPr="00DB65BA" w:rsidRDefault="00131DA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In</w:t>
            </w:r>
          </w:p>
        </w:tc>
      </w:tr>
    </w:tbl>
    <w:p w14:paraId="3BDF1A7D" w14:textId="77777777" w:rsidR="004A02BE" w:rsidRPr="00DB65BA" w:rsidRDefault="004A02BE" w:rsidP="00E7097C">
      <w:pPr>
        <w:pStyle w:val="Caption"/>
        <w:rPr>
          <w:rFonts w:ascii="Calibri" w:hAnsi="Calibri" w:cs="Calibri"/>
          <w:sz w:val="22"/>
          <w:szCs w:val="22"/>
        </w:rPr>
        <w:sectPr w:rsidR="004A02BE" w:rsidRPr="00DB65BA" w:rsidSect="00DE11BB">
          <w:headerReference w:type="default" r:id="rId24"/>
          <w:footerReference w:type="default" r:id="rId25"/>
          <w:pgSz w:w="23811" w:h="16838" w:orient="landscape" w:code="8"/>
          <w:pgMar w:top="1134" w:right="1134" w:bottom="1134" w:left="567" w:header="567" w:footer="0" w:gutter="0"/>
          <w:cols w:space="720"/>
          <w:docGrid w:linePitch="360"/>
        </w:sectPr>
      </w:pPr>
    </w:p>
    <w:p w14:paraId="3D8D8C39" w14:textId="68CF25B8" w:rsidR="00BB3305" w:rsidRPr="00DB65BA" w:rsidRDefault="00E7097C" w:rsidP="008C1CCC">
      <w:pPr>
        <w:pStyle w:val="Figurecaption0"/>
        <w:ind w:left="0"/>
        <w:rPr>
          <w:rFonts w:ascii="Calibri" w:hAnsi="Calibri" w:cs="Calibri"/>
          <w:sz w:val="22"/>
          <w:szCs w:val="22"/>
        </w:rPr>
      </w:pPr>
      <w:r w:rsidRPr="00DB65BA">
        <w:rPr>
          <w:rFonts w:ascii="Calibri" w:hAnsi="Calibri" w:cs="Calibri"/>
          <w:sz w:val="22"/>
          <w:szCs w:val="22"/>
        </w:rPr>
        <w:lastRenderedPageBreak/>
        <w:t>Table D.</w:t>
      </w:r>
      <w:r w:rsidR="00D36576" w:rsidRPr="00DB65BA">
        <w:rPr>
          <w:rFonts w:ascii="Calibri" w:hAnsi="Calibri" w:cs="Calibri"/>
          <w:sz w:val="22"/>
          <w:szCs w:val="22"/>
        </w:rPr>
        <w:fldChar w:fldCharType="begin"/>
      </w:r>
      <w:r w:rsidR="00D36576" w:rsidRPr="00DB65BA">
        <w:rPr>
          <w:rFonts w:ascii="Calibri" w:hAnsi="Calibri" w:cs="Calibri"/>
          <w:sz w:val="22"/>
          <w:szCs w:val="22"/>
        </w:rPr>
        <w:instrText xml:space="preserve"> SEQ Table \* ARABIC </w:instrText>
      </w:r>
      <w:r w:rsidR="00D36576" w:rsidRPr="00DB65BA">
        <w:rPr>
          <w:rFonts w:ascii="Calibri" w:hAnsi="Calibri" w:cs="Calibri"/>
          <w:sz w:val="22"/>
          <w:szCs w:val="22"/>
        </w:rPr>
        <w:fldChar w:fldCharType="separate"/>
      </w:r>
      <w:r w:rsidR="00B9775A" w:rsidRPr="00DB65BA">
        <w:rPr>
          <w:rFonts w:ascii="Calibri" w:hAnsi="Calibri" w:cs="Calibri"/>
          <w:noProof/>
          <w:sz w:val="22"/>
          <w:szCs w:val="22"/>
        </w:rPr>
        <w:t>2</w:t>
      </w:r>
      <w:r w:rsidR="00D36576" w:rsidRPr="00DB65BA">
        <w:rPr>
          <w:rFonts w:ascii="Calibri" w:hAnsi="Calibri" w:cs="Calibri"/>
          <w:noProof/>
          <w:sz w:val="22"/>
          <w:szCs w:val="22"/>
        </w:rPr>
        <w:fldChar w:fldCharType="end"/>
      </w:r>
      <w:r w:rsidRPr="00DB65BA">
        <w:rPr>
          <w:rFonts w:ascii="Calibri" w:hAnsi="Calibri" w:cs="Calibri"/>
          <w:sz w:val="22"/>
          <w:szCs w:val="22"/>
        </w:rPr>
        <w:t xml:space="preserve">: </w:t>
      </w:r>
      <w:r w:rsidR="00B9775A" w:rsidRPr="00DB65BA">
        <w:rPr>
          <w:rFonts w:ascii="Calibri" w:hAnsi="Calibri" w:cs="Calibri"/>
          <w:sz w:val="22"/>
          <w:szCs w:val="22"/>
        </w:rPr>
        <w:t xml:space="preserve">Net Zero Energy Generation and </w:t>
      </w:r>
      <w:r w:rsidRPr="00DB65BA">
        <w:rPr>
          <w:rFonts w:ascii="Calibri" w:hAnsi="Calibri" w:cs="Calibri"/>
          <w:sz w:val="22"/>
          <w:szCs w:val="22"/>
        </w:rPr>
        <w:t>Energy Efficient Buildings Strategic Action</w:t>
      </w:r>
      <w:r w:rsidR="00B9775A" w:rsidRPr="00DB65BA">
        <w:rPr>
          <w:rFonts w:ascii="Calibri" w:hAnsi="Calibri" w:cs="Calibri"/>
          <w:sz w:val="22"/>
          <w:szCs w:val="22"/>
        </w:rPr>
        <w:t xml:space="preserve"> Area</w:t>
      </w:r>
      <w:r w:rsidRPr="00DB65BA">
        <w:rPr>
          <w:rFonts w:ascii="Calibri" w:hAnsi="Calibri" w:cs="Calibri"/>
          <w:sz w:val="22"/>
          <w:szCs w:val="22"/>
        </w:rPr>
        <w:t xml:space="preserve"> Sift</w:t>
      </w:r>
    </w:p>
    <w:tbl>
      <w:tblPr>
        <w:tblStyle w:val="JacobsTable1accentprimarythemes"/>
        <w:tblW w:w="20554" w:type="dxa"/>
        <w:tblLook w:val="04A0" w:firstRow="1" w:lastRow="0" w:firstColumn="1" w:lastColumn="0" w:noHBand="0" w:noVBand="1"/>
      </w:tblPr>
      <w:tblGrid>
        <w:gridCol w:w="2253"/>
        <w:gridCol w:w="10363"/>
        <w:gridCol w:w="7938"/>
      </w:tblGrid>
      <w:tr w:rsidR="00ED66FB" w:rsidRPr="00DB65BA" w14:paraId="7F8915CE" w14:textId="7FD5C50B" w:rsidTr="00E376F2">
        <w:trPr>
          <w:cnfStyle w:val="100000000000" w:firstRow="1" w:lastRow="0" w:firstColumn="0" w:lastColumn="0" w:oddVBand="0" w:evenVBand="0" w:oddHBand="0" w:evenHBand="0" w:firstRowFirstColumn="0" w:firstRowLastColumn="0" w:lastRowFirstColumn="0" w:lastRowLastColumn="0"/>
          <w:trHeight w:val="264"/>
        </w:trPr>
        <w:tc>
          <w:tcPr>
            <w:tcW w:w="2253" w:type="dxa"/>
          </w:tcPr>
          <w:p w14:paraId="440F06B2" w14:textId="051B2275" w:rsidR="00ED66FB" w:rsidRPr="00DB65BA" w:rsidRDefault="00ED66FB" w:rsidP="004A3B93">
            <w:pPr>
              <w:pStyle w:val="BodyText"/>
              <w:spacing w:before="0" w:after="0"/>
              <w:rPr>
                <w:rFonts w:ascii="Calibri" w:hAnsi="Calibri" w:cs="Calibri"/>
                <w:szCs w:val="22"/>
              </w:rPr>
            </w:pPr>
            <w:r w:rsidRPr="00DB65BA">
              <w:rPr>
                <w:rFonts w:ascii="Calibri" w:hAnsi="Calibri" w:cs="Calibri"/>
                <w:szCs w:val="22"/>
              </w:rPr>
              <w:t>Number</w:t>
            </w:r>
          </w:p>
        </w:tc>
        <w:tc>
          <w:tcPr>
            <w:tcW w:w="10363" w:type="dxa"/>
          </w:tcPr>
          <w:p w14:paraId="0F80AA77" w14:textId="2801C4E8" w:rsidR="00ED66FB" w:rsidRPr="00DB65BA" w:rsidRDefault="00ED66FB" w:rsidP="004A3B93">
            <w:pPr>
              <w:pStyle w:val="BodyText"/>
              <w:spacing w:before="0" w:after="0"/>
              <w:rPr>
                <w:rFonts w:ascii="Calibri" w:hAnsi="Calibri" w:cs="Calibri"/>
                <w:szCs w:val="22"/>
              </w:rPr>
            </w:pPr>
            <w:r w:rsidRPr="00DB65BA">
              <w:rPr>
                <w:rFonts w:ascii="Calibri" w:hAnsi="Calibri" w:cs="Calibri"/>
                <w:szCs w:val="22"/>
              </w:rPr>
              <w:t xml:space="preserve">Strategic Action </w:t>
            </w:r>
          </w:p>
        </w:tc>
        <w:tc>
          <w:tcPr>
            <w:tcW w:w="7938" w:type="dxa"/>
          </w:tcPr>
          <w:p w14:paraId="5E9B5B31" w14:textId="45DABC80" w:rsidR="00ED66FB" w:rsidRPr="00DB65BA" w:rsidRDefault="00ED66FB" w:rsidP="004A3B93">
            <w:pPr>
              <w:pStyle w:val="BodyText"/>
              <w:spacing w:before="0" w:after="0"/>
              <w:rPr>
                <w:rFonts w:ascii="Calibri" w:hAnsi="Calibri" w:cs="Calibri"/>
                <w:szCs w:val="22"/>
              </w:rPr>
            </w:pPr>
            <w:r w:rsidRPr="00DB65BA">
              <w:rPr>
                <w:rFonts w:ascii="Calibri" w:hAnsi="Calibri" w:cs="Calibri"/>
                <w:szCs w:val="22"/>
              </w:rPr>
              <w:t>Sifted in/out</w:t>
            </w:r>
          </w:p>
        </w:tc>
      </w:tr>
      <w:tr w:rsidR="00ED66FB" w:rsidRPr="00DB65BA" w14:paraId="5EB0E2A5" w14:textId="469025A7" w:rsidTr="00E376F2">
        <w:trPr>
          <w:trHeight w:val="283"/>
        </w:trPr>
        <w:tc>
          <w:tcPr>
            <w:tcW w:w="2253" w:type="dxa"/>
            <w:shd w:val="clear" w:color="auto" w:fill="D3E2FF" w:themeFill="accent4" w:themeFillTint="1A"/>
            <w:noWrap/>
            <w:hideMark/>
          </w:tcPr>
          <w:p w14:paraId="028DE461" w14:textId="77777777" w:rsidR="00ED66FB" w:rsidRPr="00DB65BA" w:rsidRDefault="00ED66F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1</w:t>
            </w:r>
          </w:p>
        </w:tc>
        <w:tc>
          <w:tcPr>
            <w:tcW w:w="10363" w:type="dxa"/>
            <w:shd w:val="clear" w:color="auto" w:fill="D3E2FF" w:themeFill="accent4" w:themeFillTint="1A"/>
            <w:hideMark/>
          </w:tcPr>
          <w:p w14:paraId="187F1763" w14:textId="77777777" w:rsidR="00ED66FB" w:rsidRPr="00DB65BA" w:rsidRDefault="00ED66F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Laying the policy foundations</w:t>
            </w:r>
          </w:p>
        </w:tc>
        <w:tc>
          <w:tcPr>
            <w:tcW w:w="7938" w:type="dxa"/>
            <w:shd w:val="clear" w:color="auto" w:fill="D3E2FF" w:themeFill="accent4" w:themeFillTint="1A"/>
          </w:tcPr>
          <w:p w14:paraId="4AE42CA6" w14:textId="77777777" w:rsidR="00ED66FB" w:rsidRPr="00DB65BA" w:rsidRDefault="00ED66FB" w:rsidP="004A3B93">
            <w:pPr>
              <w:spacing w:before="0" w:after="0" w:line="240" w:lineRule="auto"/>
              <w:rPr>
                <w:rFonts w:ascii="Calibri" w:eastAsia="Times New Roman" w:hAnsi="Calibri" w:cs="Calibri"/>
                <w:color w:val="000000"/>
                <w:sz w:val="22"/>
                <w:szCs w:val="22"/>
              </w:rPr>
            </w:pPr>
          </w:p>
        </w:tc>
      </w:tr>
      <w:tr w:rsidR="00ED66FB" w:rsidRPr="00DB65BA" w14:paraId="4EB84358" w14:textId="05DFCB8C" w:rsidTr="00E376F2">
        <w:trPr>
          <w:trHeight w:val="452"/>
        </w:trPr>
        <w:tc>
          <w:tcPr>
            <w:tcW w:w="2253" w:type="dxa"/>
            <w:noWrap/>
            <w:hideMark/>
          </w:tcPr>
          <w:p w14:paraId="42F3AED4" w14:textId="77777777" w:rsidR="00ED66FB" w:rsidRPr="00DB65BA" w:rsidRDefault="00ED66F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1.1</w:t>
            </w:r>
          </w:p>
        </w:tc>
        <w:tc>
          <w:tcPr>
            <w:tcW w:w="10363" w:type="dxa"/>
            <w:hideMark/>
          </w:tcPr>
          <w:p w14:paraId="1986E185" w14:textId="77777777" w:rsidR="00ED66FB" w:rsidRPr="00DB65BA" w:rsidRDefault="00ED66F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Set progressive planning policies to increase energy standards in new buildings.</w:t>
            </w:r>
          </w:p>
        </w:tc>
        <w:tc>
          <w:tcPr>
            <w:tcW w:w="7938" w:type="dxa"/>
          </w:tcPr>
          <w:p w14:paraId="09131C69" w14:textId="214D84CA" w:rsidR="00ED66FB" w:rsidRPr="00ED66FB" w:rsidRDefault="00ED66FB" w:rsidP="004A3B93">
            <w:pPr>
              <w:spacing w:before="0" w:after="0" w:line="240" w:lineRule="auto"/>
              <w:rPr>
                <w:rFonts w:ascii="Calibri" w:eastAsia="Times New Roman" w:hAnsi="Calibri" w:cs="Calibri"/>
                <w:color w:val="000000"/>
                <w:sz w:val="22"/>
                <w:szCs w:val="22"/>
              </w:rPr>
            </w:pPr>
            <w:r w:rsidRPr="00ED66FB">
              <w:rPr>
                <w:rFonts w:ascii="Calibri" w:eastAsia="Times New Roman" w:hAnsi="Calibri" w:cs="Calibri"/>
                <w:color w:val="000000"/>
                <w:sz w:val="22"/>
                <w:szCs w:val="22"/>
              </w:rPr>
              <w:t>In</w:t>
            </w:r>
          </w:p>
        </w:tc>
      </w:tr>
      <w:tr w:rsidR="00ED66FB" w:rsidRPr="00DB65BA" w14:paraId="11699BBD" w14:textId="411E29A6" w:rsidTr="00E376F2">
        <w:trPr>
          <w:trHeight w:val="403"/>
        </w:trPr>
        <w:tc>
          <w:tcPr>
            <w:tcW w:w="2253" w:type="dxa"/>
            <w:noWrap/>
            <w:hideMark/>
          </w:tcPr>
          <w:p w14:paraId="0DFC6E26" w14:textId="77777777" w:rsidR="00ED66FB" w:rsidRPr="00DB65BA" w:rsidRDefault="00ED66F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1.2</w:t>
            </w:r>
          </w:p>
        </w:tc>
        <w:tc>
          <w:tcPr>
            <w:tcW w:w="10363" w:type="dxa"/>
            <w:hideMark/>
          </w:tcPr>
          <w:p w14:paraId="281A5FDA" w14:textId="77777777" w:rsidR="00ED66FB" w:rsidRPr="00DB65BA" w:rsidRDefault="00ED66FB" w:rsidP="004A3B93">
            <w:pPr>
              <w:spacing w:before="0" w:after="0" w:line="240" w:lineRule="auto"/>
              <w:rPr>
                <w:rFonts w:ascii="Calibri" w:eastAsia="Times New Roman" w:hAnsi="Calibri" w:cs="Calibri"/>
                <w:color w:val="000000"/>
                <w:sz w:val="22"/>
                <w:szCs w:val="22"/>
              </w:rPr>
            </w:pPr>
            <w:r w:rsidRPr="00DB65BA">
              <w:rPr>
                <w:rFonts w:ascii="Calibri" w:eastAsia="Times New Roman" w:hAnsi="Calibri" w:cs="Calibri"/>
                <w:color w:val="000000"/>
                <w:sz w:val="22"/>
                <w:szCs w:val="22"/>
              </w:rPr>
              <w:t>Require the use of low and zero emissions technologies to heat and power the city’s buildings.</w:t>
            </w:r>
          </w:p>
        </w:tc>
        <w:tc>
          <w:tcPr>
            <w:tcW w:w="7938" w:type="dxa"/>
          </w:tcPr>
          <w:p w14:paraId="4E2638D2" w14:textId="161E2533" w:rsidR="00ED66FB" w:rsidRPr="00ED66FB" w:rsidRDefault="00ED66FB" w:rsidP="004A3B93">
            <w:pPr>
              <w:spacing w:before="0" w:after="0" w:line="240" w:lineRule="auto"/>
              <w:rPr>
                <w:rFonts w:ascii="Calibri" w:eastAsia="Times New Roman" w:hAnsi="Calibri" w:cs="Calibri"/>
                <w:color w:val="000000"/>
                <w:sz w:val="22"/>
                <w:szCs w:val="22"/>
              </w:rPr>
            </w:pPr>
            <w:r w:rsidRPr="00ED66FB">
              <w:rPr>
                <w:rFonts w:ascii="Calibri" w:eastAsia="Times New Roman" w:hAnsi="Calibri" w:cs="Calibri"/>
                <w:color w:val="000000"/>
                <w:sz w:val="22"/>
                <w:szCs w:val="22"/>
              </w:rPr>
              <w:t xml:space="preserve">Out - Under Resources and Services (page 33), the City Plan requires new buildings to be net zero in terms of operational greenhouse gas emissions, supports existing buildings to be more efficient and supports new low and zero carbon energy generation developments. Page 164 (H86) New Housing Proposals: Edinburgh </w:t>
            </w:r>
            <w:proofErr w:type="spellStart"/>
            <w:r w:rsidRPr="00ED66FB">
              <w:rPr>
                <w:rFonts w:ascii="Calibri" w:eastAsia="Times New Roman" w:hAnsi="Calibri" w:cs="Calibri"/>
                <w:color w:val="000000"/>
                <w:sz w:val="22"/>
                <w:szCs w:val="22"/>
              </w:rPr>
              <w:t>BioQuarter</w:t>
            </w:r>
            <w:proofErr w:type="spellEnd"/>
            <w:r w:rsidRPr="00ED66FB">
              <w:rPr>
                <w:rFonts w:ascii="Calibri" w:eastAsia="Times New Roman" w:hAnsi="Calibri" w:cs="Calibri"/>
                <w:color w:val="000000"/>
                <w:sz w:val="22"/>
                <w:szCs w:val="22"/>
              </w:rPr>
              <w:t xml:space="preserve"> states that a master plan will be prepared to support the future development of a net-zero mixed-use development with a net-zero emissions target. In addition to this, all planning applications involving the construction or change of use of one or more buildings must be accompanied by a Sustainability Statement (page 16).</w:t>
            </w:r>
          </w:p>
        </w:tc>
      </w:tr>
      <w:tr w:rsidR="00ED66FB" w:rsidRPr="00693272" w14:paraId="3B34339D" w14:textId="0A25C4D8" w:rsidTr="00E376F2">
        <w:trPr>
          <w:trHeight w:val="283"/>
        </w:trPr>
        <w:tc>
          <w:tcPr>
            <w:tcW w:w="2253" w:type="dxa"/>
            <w:shd w:val="clear" w:color="auto" w:fill="D3E2FF" w:themeFill="accent4" w:themeFillTint="1A"/>
            <w:noWrap/>
            <w:hideMark/>
          </w:tcPr>
          <w:p w14:paraId="550116C5"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2</w:t>
            </w:r>
          </w:p>
        </w:tc>
        <w:tc>
          <w:tcPr>
            <w:tcW w:w="10363" w:type="dxa"/>
            <w:shd w:val="clear" w:color="auto" w:fill="D3E2FF" w:themeFill="accent4" w:themeFillTint="1A"/>
            <w:hideMark/>
          </w:tcPr>
          <w:p w14:paraId="25D36E1E"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Meeting the city’s energy needs sustainably</w:t>
            </w:r>
          </w:p>
        </w:tc>
        <w:tc>
          <w:tcPr>
            <w:tcW w:w="7938" w:type="dxa"/>
            <w:shd w:val="clear" w:color="auto" w:fill="D3E2FF" w:themeFill="accent4" w:themeFillTint="1A"/>
          </w:tcPr>
          <w:p w14:paraId="7D8D6F5E" w14:textId="77777777" w:rsidR="00ED66FB" w:rsidRPr="00693272" w:rsidRDefault="00ED66FB" w:rsidP="004A3B93">
            <w:pPr>
              <w:spacing w:before="0" w:after="0" w:line="240" w:lineRule="auto"/>
              <w:rPr>
                <w:rFonts w:ascii="Calibri" w:eastAsia="Times New Roman" w:hAnsi="Calibri" w:cs="Calibri"/>
                <w:color w:val="000000"/>
                <w:sz w:val="22"/>
                <w:szCs w:val="22"/>
              </w:rPr>
            </w:pPr>
          </w:p>
        </w:tc>
      </w:tr>
      <w:tr w:rsidR="00ED66FB" w:rsidRPr="00693272" w14:paraId="10661693" w14:textId="434B45BD" w:rsidTr="00E376F2">
        <w:trPr>
          <w:trHeight w:val="283"/>
        </w:trPr>
        <w:tc>
          <w:tcPr>
            <w:tcW w:w="2253" w:type="dxa"/>
            <w:noWrap/>
            <w:hideMark/>
          </w:tcPr>
          <w:p w14:paraId="5CACE926"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2.1</w:t>
            </w:r>
          </w:p>
        </w:tc>
        <w:tc>
          <w:tcPr>
            <w:tcW w:w="10363" w:type="dxa"/>
            <w:hideMark/>
          </w:tcPr>
          <w:p w14:paraId="70792BD8"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Convene a City Heat and Energy Partnership (CH&amp;EP)</w:t>
            </w:r>
          </w:p>
        </w:tc>
        <w:tc>
          <w:tcPr>
            <w:tcW w:w="7938" w:type="dxa"/>
          </w:tcPr>
          <w:p w14:paraId="2A75B6A7" w14:textId="3C11EA3C" w:rsidR="00ED66FB" w:rsidRPr="00693272" w:rsidRDefault="00ED66F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ED66FB" w:rsidRPr="00693272" w14:paraId="2C45CD6A" w14:textId="76F23CD4" w:rsidTr="00E376F2">
        <w:trPr>
          <w:trHeight w:val="283"/>
        </w:trPr>
        <w:tc>
          <w:tcPr>
            <w:tcW w:w="2253" w:type="dxa"/>
            <w:noWrap/>
            <w:hideMark/>
          </w:tcPr>
          <w:p w14:paraId="377CC9AA"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2.2</w:t>
            </w:r>
          </w:p>
        </w:tc>
        <w:tc>
          <w:tcPr>
            <w:tcW w:w="10363" w:type="dxa"/>
            <w:hideMark/>
          </w:tcPr>
          <w:p w14:paraId="49514471"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Develop a city-wide heat and energy masterplan</w:t>
            </w:r>
          </w:p>
        </w:tc>
        <w:tc>
          <w:tcPr>
            <w:tcW w:w="7938" w:type="dxa"/>
          </w:tcPr>
          <w:p w14:paraId="240C63E7" w14:textId="27FC88F8" w:rsidR="00ED66FB" w:rsidRPr="00693272" w:rsidRDefault="00ED66F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ED66FB" w:rsidRPr="00693272" w14:paraId="5D614D97" w14:textId="1A25D05B" w:rsidTr="00E376F2">
        <w:trPr>
          <w:trHeight w:val="283"/>
        </w:trPr>
        <w:tc>
          <w:tcPr>
            <w:tcW w:w="2253" w:type="dxa"/>
            <w:shd w:val="clear" w:color="auto" w:fill="D3E2FF" w:themeFill="accent4" w:themeFillTint="1A"/>
            <w:noWrap/>
            <w:hideMark/>
          </w:tcPr>
          <w:p w14:paraId="65FDD496"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3</w:t>
            </w:r>
          </w:p>
        </w:tc>
        <w:tc>
          <w:tcPr>
            <w:tcW w:w="10363" w:type="dxa"/>
            <w:shd w:val="clear" w:color="auto" w:fill="D3E2FF" w:themeFill="accent4" w:themeFillTint="1A"/>
            <w:hideMark/>
          </w:tcPr>
          <w:p w14:paraId="55D166CB"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Investing in heat and energy</w:t>
            </w:r>
          </w:p>
        </w:tc>
        <w:tc>
          <w:tcPr>
            <w:tcW w:w="7938" w:type="dxa"/>
            <w:shd w:val="clear" w:color="auto" w:fill="D3E2FF" w:themeFill="accent4" w:themeFillTint="1A"/>
          </w:tcPr>
          <w:p w14:paraId="63DDFCD0" w14:textId="77777777" w:rsidR="00ED66FB" w:rsidRPr="00693272" w:rsidRDefault="00ED66FB" w:rsidP="004A3B93">
            <w:pPr>
              <w:spacing w:before="0" w:after="0" w:line="240" w:lineRule="auto"/>
              <w:rPr>
                <w:rFonts w:ascii="Calibri" w:eastAsia="Times New Roman" w:hAnsi="Calibri" w:cs="Calibri"/>
                <w:color w:val="000000"/>
                <w:sz w:val="22"/>
                <w:szCs w:val="22"/>
              </w:rPr>
            </w:pPr>
          </w:p>
        </w:tc>
      </w:tr>
      <w:tr w:rsidR="00ED66FB" w:rsidRPr="00693272" w14:paraId="40EA7883" w14:textId="0320949F" w:rsidTr="00E376F2">
        <w:trPr>
          <w:trHeight w:val="329"/>
        </w:trPr>
        <w:tc>
          <w:tcPr>
            <w:tcW w:w="2253" w:type="dxa"/>
            <w:noWrap/>
            <w:hideMark/>
          </w:tcPr>
          <w:p w14:paraId="78EA7D82"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3.1</w:t>
            </w:r>
          </w:p>
        </w:tc>
        <w:tc>
          <w:tcPr>
            <w:tcW w:w="10363" w:type="dxa"/>
            <w:hideMark/>
          </w:tcPr>
          <w:p w14:paraId="56DDD465"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Develop a long-term city partner shared investment strategy to deliver the city-wide heat and energy masterplan.</w:t>
            </w:r>
          </w:p>
        </w:tc>
        <w:tc>
          <w:tcPr>
            <w:tcW w:w="7938" w:type="dxa"/>
          </w:tcPr>
          <w:p w14:paraId="31ED0F7B" w14:textId="3399C2BC" w:rsidR="00ED66FB" w:rsidRPr="00693272" w:rsidRDefault="00ED66F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ED66FB" w:rsidRPr="00693272" w14:paraId="2B511895" w14:textId="4FECE3F7" w:rsidTr="00E376F2">
        <w:trPr>
          <w:trHeight w:val="283"/>
        </w:trPr>
        <w:tc>
          <w:tcPr>
            <w:tcW w:w="2253" w:type="dxa"/>
            <w:noWrap/>
            <w:hideMark/>
          </w:tcPr>
          <w:p w14:paraId="7E1E003E"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3.2</w:t>
            </w:r>
          </w:p>
        </w:tc>
        <w:tc>
          <w:tcPr>
            <w:tcW w:w="10363" w:type="dxa"/>
            <w:hideMark/>
          </w:tcPr>
          <w:p w14:paraId="5FFC55BD"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Agree appropriate delivery mechanisms for the energy investment strategy.</w:t>
            </w:r>
          </w:p>
        </w:tc>
        <w:tc>
          <w:tcPr>
            <w:tcW w:w="7938" w:type="dxa"/>
          </w:tcPr>
          <w:p w14:paraId="1D70D9D4" w14:textId="537D8B28" w:rsidR="00ED66FB" w:rsidRPr="00693272" w:rsidRDefault="00ED66F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ED66FB" w:rsidRPr="00693272" w14:paraId="4903BFC9" w14:textId="65892C5D" w:rsidTr="00E376F2">
        <w:trPr>
          <w:trHeight w:val="283"/>
        </w:trPr>
        <w:tc>
          <w:tcPr>
            <w:tcW w:w="2253" w:type="dxa"/>
            <w:shd w:val="clear" w:color="auto" w:fill="D3E2FF" w:themeFill="accent4" w:themeFillTint="1A"/>
            <w:noWrap/>
            <w:hideMark/>
          </w:tcPr>
          <w:p w14:paraId="59200F47"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4</w:t>
            </w:r>
          </w:p>
        </w:tc>
        <w:tc>
          <w:tcPr>
            <w:tcW w:w="10363" w:type="dxa"/>
            <w:shd w:val="clear" w:color="auto" w:fill="D3E2FF" w:themeFill="accent4" w:themeFillTint="1A"/>
            <w:hideMark/>
          </w:tcPr>
          <w:p w14:paraId="3DF7083C"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Meeting future energy demand</w:t>
            </w:r>
          </w:p>
        </w:tc>
        <w:tc>
          <w:tcPr>
            <w:tcW w:w="7938" w:type="dxa"/>
            <w:shd w:val="clear" w:color="auto" w:fill="D3E2FF" w:themeFill="accent4" w:themeFillTint="1A"/>
          </w:tcPr>
          <w:p w14:paraId="0F2D0909" w14:textId="77777777" w:rsidR="00ED66FB" w:rsidRPr="00693272" w:rsidRDefault="00ED66FB" w:rsidP="004A3B93">
            <w:pPr>
              <w:spacing w:before="0" w:after="0" w:line="240" w:lineRule="auto"/>
              <w:rPr>
                <w:rFonts w:ascii="Calibri" w:eastAsia="Times New Roman" w:hAnsi="Calibri" w:cs="Calibri"/>
                <w:color w:val="000000"/>
                <w:sz w:val="22"/>
                <w:szCs w:val="22"/>
              </w:rPr>
            </w:pPr>
          </w:p>
        </w:tc>
      </w:tr>
      <w:tr w:rsidR="00ED66FB" w:rsidRPr="00693272" w14:paraId="59A006A9" w14:textId="422A02AC" w:rsidTr="00E376F2">
        <w:trPr>
          <w:trHeight w:val="283"/>
        </w:trPr>
        <w:tc>
          <w:tcPr>
            <w:tcW w:w="2253" w:type="dxa"/>
            <w:noWrap/>
            <w:hideMark/>
          </w:tcPr>
          <w:p w14:paraId="2FE161A1"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4.1</w:t>
            </w:r>
          </w:p>
        </w:tc>
        <w:tc>
          <w:tcPr>
            <w:tcW w:w="10363" w:type="dxa"/>
            <w:hideMark/>
          </w:tcPr>
          <w:p w14:paraId="746B2EA2"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Establish a strategic partnership with SP Energy Networks</w:t>
            </w:r>
          </w:p>
        </w:tc>
        <w:tc>
          <w:tcPr>
            <w:tcW w:w="7938" w:type="dxa"/>
          </w:tcPr>
          <w:p w14:paraId="18823DD4" w14:textId="307F3A50" w:rsidR="00ED66FB" w:rsidRPr="00693272" w:rsidRDefault="00ED66F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ED66FB" w:rsidRPr="00693272" w14:paraId="1DC12C25" w14:textId="2A0060B0" w:rsidTr="00E376F2">
        <w:trPr>
          <w:trHeight w:val="438"/>
        </w:trPr>
        <w:tc>
          <w:tcPr>
            <w:tcW w:w="2253" w:type="dxa"/>
            <w:noWrap/>
            <w:hideMark/>
          </w:tcPr>
          <w:p w14:paraId="6B2C5875"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4.2</w:t>
            </w:r>
          </w:p>
        </w:tc>
        <w:tc>
          <w:tcPr>
            <w:tcW w:w="10363" w:type="dxa"/>
            <w:hideMark/>
          </w:tcPr>
          <w:p w14:paraId="1F4A8342"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Align current and future grid development to the city’s projected energy needs.</w:t>
            </w:r>
          </w:p>
        </w:tc>
        <w:tc>
          <w:tcPr>
            <w:tcW w:w="7938" w:type="dxa"/>
          </w:tcPr>
          <w:p w14:paraId="3F38013D" w14:textId="68962FC6" w:rsidR="00ED66FB" w:rsidRPr="00693272" w:rsidRDefault="00ED66F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ED66FB" w:rsidRPr="00693272" w14:paraId="6D4C0338" w14:textId="26D0353C" w:rsidTr="00E376F2">
        <w:trPr>
          <w:trHeight w:val="283"/>
        </w:trPr>
        <w:tc>
          <w:tcPr>
            <w:tcW w:w="2253" w:type="dxa"/>
            <w:shd w:val="clear" w:color="auto" w:fill="D3E2FF" w:themeFill="accent4" w:themeFillTint="1A"/>
            <w:noWrap/>
            <w:hideMark/>
          </w:tcPr>
          <w:p w14:paraId="33712EAA"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5</w:t>
            </w:r>
          </w:p>
        </w:tc>
        <w:tc>
          <w:tcPr>
            <w:tcW w:w="10363" w:type="dxa"/>
            <w:shd w:val="clear" w:color="auto" w:fill="D3E2FF" w:themeFill="accent4" w:themeFillTint="1A"/>
            <w:hideMark/>
          </w:tcPr>
          <w:p w14:paraId="18180A33"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Developing regional energy solutions</w:t>
            </w:r>
          </w:p>
        </w:tc>
        <w:tc>
          <w:tcPr>
            <w:tcW w:w="7938" w:type="dxa"/>
            <w:shd w:val="clear" w:color="auto" w:fill="D3E2FF" w:themeFill="accent4" w:themeFillTint="1A"/>
          </w:tcPr>
          <w:p w14:paraId="1CE48AB7" w14:textId="77777777" w:rsidR="00ED66FB" w:rsidRPr="00693272" w:rsidRDefault="00ED66FB" w:rsidP="004A3B93">
            <w:pPr>
              <w:spacing w:before="0" w:after="0" w:line="240" w:lineRule="auto"/>
              <w:rPr>
                <w:rFonts w:ascii="Calibri" w:eastAsia="Times New Roman" w:hAnsi="Calibri" w:cs="Calibri"/>
                <w:color w:val="000000"/>
                <w:sz w:val="22"/>
                <w:szCs w:val="22"/>
              </w:rPr>
            </w:pPr>
          </w:p>
        </w:tc>
      </w:tr>
      <w:tr w:rsidR="00ED66FB" w:rsidRPr="00693272" w14:paraId="631FB4CA" w14:textId="661E35FF" w:rsidTr="00E376F2">
        <w:trPr>
          <w:trHeight w:val="381"/>
        </w:trPr>
        <w:tc>
          <w:tcPr>
            <w:tcW w:w="2253" w:type="dxa"/>
            <w:noWrap/>
            <w:hideMark/>
          </w:tcPr>
          <w:p w14:paraId="18245A21"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5.1</w:t>
            </w:r>
          </w:p>
        </w:tc>
        <w:tc>
          <w:tcPr>
            <w:tcW w:w="10363" w:type="dxa"/>
            <w:hideMark/>
          </w:tcPr>
          <w:p w14:paraId="45A27549"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Develop regional renewable energy solutions which draw on the area’s wind, geothermal, hydro and solar assets.</w:t>
            </w:r>
          </w:p>
        </w:tc>
        <w:tc>
          <w:tcPr>
            <w:tcW w:w="7938" w:type="dxa"/>
          </w:tcPr>
          <w:p w14:paraId="51EB0CFF" w14:textId="5968AA31" w:rsidR="00ED66FB" w:rsidRPr="00693272" w:rsidRDefault="00ED66F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ED66FB" w:rsidRPr="00693272" w14:paraId="7ED40056" w14:textId="19402BD6" w:rsidTr="00E376F2">
        <w:trPr>
          <w:trHeight w:val="283"/>
        </w:trPr>
        <w:tc>
          <w:tcPr>
            <w:tcW w:w="2253" w:type="dxa"/>
            <w:noWrap/>
            <w:hideMark/>
          </w:tcPr>
          <w:p w14:paraId="526799A0"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5.2</w:t>
            </w:r>
          </w:p>
        </w:tc>
        <w:tc>
          <w:tcPr>
            <w:tcW w:w="10363" w:type="dxa"/>
            <w:hideMark/>
          </w:tcPr>
          <w:p w14:paraId="6B7D6CB5"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Learn from the H100 hydrogen pilot.</w:t>
            </w:r>
          </w:p>
        </w:tc>
        <w:tc>
          <w:tcPr>
            <w:tcW w:w="7938" w:type="dxa"/>
          </w:tcPr>
          <w:p w14:paraId="3EC584C9" w14:textId="4408575B" w:rsidR="00ED66FB" w:rsidRPr="00693272" w:rsidRDefault="00ED66F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ED66FB" w:rsidRPr="00693272" w14:paraId="534853DF" w14:textId="6A2FED90" w:rsidTr="00E376F2">
        <w:trPr>
          <w:trHeight w:val="404"/>
        </w:trPr>
        <w:tc>
          <w:tcPr>
            <w:tcW w:w="2253" w:type="dxa"/>
            <w:noWrap/>
            <w:hideMark/>
          </w:tcPr>
          <w:p w14:paraId="261DEA91"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5.3</w:t>
            </w:r>
          </w:p>
        </w:tc>
        <w:tc>
          <w:tcPr>
            <w:tcW w:w="10363" w:type="dxa"/>
            <w:hideMark/>
          </w:tcPr>
          <w:p w14:paraId="64BC71F3"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Collaborate with regional partners to decarbonise the region’s energy infrastructure.</w:t>
            </w:r>
          </w:p>
        </w:tc>
        <w:tc>
          <w:tcPr>
            <w:tcW w:w="7938" w:type="dxa"/>
          </w:tcPr>
          <w:p w14:paraId="28EA9D31" w14:textId="5E4B40BC" w:rsidR="00ED66FB" w:rsidRPr="00693272" w:rsidRDefault="00ED66F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ED66FB" w:rsidRPr="00693272" w14:paraId="2989B4E4" w14:textId="298DDD4E" w:rsidTr="00E376F2">
        <w:trPr>
          <w:trHeight w:val="283"/>
        </w:trPr>
        <w:tc>
          <w:tcPr>
            <w:tcW w:w="2253" w:type="dxa"/>
            <w:shd w:val="clear" w:color="auto" w:fill="D3E2FF" w:themeFill="accent4" w:themeFillTint="1A"/>
            <w:noWrap/>
            <w:hideMark/>
          </w:tcPr>
          <w:p w14:paraId="1FF99FD6"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6</w:t>
            </w:r>
          </w:p>
        </w:tc>
        <w:tc>
          <w:tcPr>
            <w:tcW w:w="10363" w:type="dxa"/>
            <w:shd w:val="clear" w:color="auto" w:fill="D3E2FF" w:themeFill="accent4" w:themeFillTint="1A"/>
            <w:hideMark/>
          </w:tcPr>
          <w:p w14:paraId="4675A00C"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Developing heat networks</w:t>
            </w:r>
          </w:p>
        </w:tc>
        <w:tc>
          <w:tcPr>
            <w:tcW w:w="7938" w:type="dxa"/>
            <w:shd w:val="clear" w:color="auto" w:fill="D3E2FF" w:themeFill="accent4" w:themeFillTint="1A"/>
          </w:tcPr>
          <w:p w14:paraId="4FD9645C" w14:textId="77777777" w:rsidR="00ED66FB" w:rsidRPr="00693272" w:rsidRDefault="00ED66FB" w:rsidP="004A3B93">
            <w:pPr>
              <w:spacing w:before="0" w:after="0" w:line="240" w:lineRule="auto"/>
              <w:rPr>
                <w:rFonts w:ascii="Calibri" w:eastAsia="Times New Roman" w:hAnsi="Calibri" w:cs="Calibri"/>
                <w:color w:val="000000"/>
                <w:sz w:val="22"/>
                <w:szCs w:val="22"/>
              </w:rPr>
            </w:pPr>
          </w:p>
        </w:tc>
      </w:tr>
      <w:tr w:rsidR="00ED66FB" w:rsidRPr="00693272" w14:paraId="254B4D19" w14:textId="53C95C44" w:rsidTr="00E376F2">
        <w:trPr>
          <w:trHeight w:val="283"/>
        </w:trPr>
        <w:tc>
          <w:tcPr>
            <w:tcW w:w="2253" w:type="dxa"/>
            <w:noWrap/>
            <w:hideMark/>
          </w:tcPr>
          <w:p w14:paraId="22ED6213"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6.1</w:t>
            </w:r>
          </w:p>
        </w:tc>
        <w:tc>
          <w:tcPr>
            <w:tcW w:w="10363" w:type="dxa"/>
            <w:hideMark/>
          </w:tcPr>
          <w:p w14:paraId="07D8452D"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Identify heat network zones across the city.</w:t>
            </w:r>
          </w:p>
        </w:tc>
        <w:tc>
          <w:tcPr>
            <w:tcW w:w="7938" w:type="dxa"/>
          </w:tcPr>
          <w:p w14:paraId="1ED8F0DA" w14:textId="67B3D891" w:rsidR="00ED66FB" w:rsidRPr="00693272" w:rsidRDefault="00ED66F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ED66FB" w:rsidRPr="00693272" w14:paraId="65D31733" w14:textId="73944914" w:rsidTr="00E376F2">
        <w:trPr>
          <w:trHeight w:val="633"/>
        </w:trPr>
        <w:tc>
          <w:tcPr>
            <w:tcW w:w="2253" w:type="dxa"/>
            <w:noWrap/>
            <w:hideMark/>
          </w:tcPr>
          <w:p w14:paraId="54D986D5"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6.2</w:t>
            </w:r>
          </w:p>
        </w:tc>
        <w:tc>
          <w:tcPr>
            <w:tcW w:w="10363" w:type="dxa"/>
            <w:hideMark/>
          </w:tcPr>
          <w:p w14:paraId="38166F8C"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Ensure all Council-led infrastructure investment plans seek opportunities to connect to heat networks, beginning with our learning estate programme.</w:t>
            </w:r>
          </w:p>
        </w:tc>
        <w:tc>
          <w:tcPr>
            <w:tcW w:w="7938" w:type="dxa"/>
          </w:tcPr>
          <w:p w14:paraId="20A13872" w14:textId="74380B68" w:rsidR="00ED66FB" w:rsidRPr="00693272" w:rsidRDefault="00ED66F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ED66FB" w:rsidRPr="00693272" w14:paraId="50C6C0F6" w14:textId="00823CB0" w:rsidTr="00E376F2">
        <w:trPr>
          <w:trHeight w:val="652"/>
        </w:trPr>
        <w:tc>
          <w:tcPr>
            <w:tcW w:w="2253" w:type="dxa"/>
            <w:noWrap/>
            <w:hideMark/>
          </w:tcPr>
          <w:p w14:paraId="6E2DE1C1"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6.3</w:t>
            </w:r>
          </w:p>
        </w:tc>
        <w:tc>
          <w:tcPr>
            <w:tcW w:w="10363" w:type="dxa"/>
            <w:hideMark/>
          </w:tcPr>
          <w:p w14:paraId="713AAE55"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 xml:space="preserve">Work with communities and developers to deliver heat networks which meet the needs of key public sector buildings and major new developments across the city, beginning with </w:t>
            </w:r>
            <w:proofErr w:type="spellStart"/>
            <w:r w:rsidRPr="00693272">
              <w:rPr>
                <w:rFonts w:ascii="Calibri" w:eastAsia="Times New Roman" w:hAnsi="Calibri" w:cs="Calibri"/>
                <w:color w:val="000000"/>
                <w:sz w:val="22"/>
                <w:szCs w:val="22"/>
              </w:rPr>
              <w:t>Granton</w:t>
            </w:r>
            <w:proofErr w:type="spellEnd"/>
            <w:r w:rsidRPr="00693272">
              <w:rPr>
                <w:rFonts w:ascii="Calibri" w:eastAsia="Times New Roman" w:hAnsi="Calibri" w:cs="Calibri"/>
                <w:color w:val="000000"/>
                <w:sz w:val="22"/>
                <w:szCs w:val="22"/>
              </w:rPr>
              <w:t xml:space="preserve"> Waterfront and the </w:t>
            </w:r>
            <w:proofErr w:type="spellStart"/>
            <w:r w:rsidRPr="00693272">
              <w:rPr>
                <w:rFonts w:ascii="Calibri" w:eastAsia="Times New Roman" w:hAnsi="Calibri" w:cs="Calibri"/>
                <w:color w:val="000000"/>
                <w:sz w:val="22"/>
                <w:szCs w:val="22"/>
              </w:rPr>
              <w:t>BioQuarter</w:t>
            </w:r>
            <w:proofErr w:type="spellEnd"/>
            <w:r w:rsidRPr="00693272">
              <w:rPr>
                <w:rFonts w:ascii="Calibri" w:eastAsia="Times New Roman" w:hAnsi="Calibri" w:cs="Calibri"/>
                <w:color w:val="000000"/>
                <w:sz w:val="22"/>
                <w:szCs w:val="22"/>
              </w:rPr>
              <w:t>.</w:t>
            </w:r>
          </w:p>
        </w:tc>
        <w:tc>
          <w:tcPr>
            <w:tcW w:w="7938" w:type="dxa"/>
          </w:tcPr>
          <w:p w14:paraId="2AD27B43" w14:textId="04F83A25" w:rsidR="00ED66FB" w:rsidRPr="00693272" w:rsidRDefault="00ED66F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ED66FB" w:rsidRPr="00693272" w14:paraId="7F2C847D" w14:textId="176B4323" w:rsidTr="00E376F2">
        <w:trPr>
          <w:trHeight w:val="283"/>
        </w:trPr>
        <w:tc>
          <w:tcPr>
            <w:tcW w:w="2253" w:type="dxa"/>
            <w:shd w:val="clear" w:color="auto" w:fill="D3E2FF" w:themeFill="accent4" w:themeFillTint="1A"/>
            <w:noWrap/>
            <w:hideMark/>
          </w:tcPr>
          <w:p w14:paraId="2657C044"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7</w:t>
            </w:r>
          </w:p>
        </w:tc>
        <w:tc>
          <w:tcPr>
            <w:tcW w:w="10363" w:type="dxa"/>
            <w:shd w:val="clear" w:color="auto" w:fill="D3E2FF" w:themeFill="accent4" w:themeFillTint="1A"/>
            <w:hideMark/>
          </w:tcPr>
          <w:p w14:paraId="0F77BA23"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Focusing on place-based energy projects</w:t>
            </w:r>
          </w:p>
        </w:tc>
        <w:tc>
          <w:tcPr>
            <w:tcW w:w="7938" w:type="dxa"/>
            <w:shd w:val="clear" w:color="auto" w:fill="D3E2FF" w:themeFill="accent4" w:themeFillTint="1A"/>
          </w:tcPr>
          <w:p w14:paraId="5CE579A7" w14:textId="77777777" w:rsidR="00ED66FB" w:rsidRPr="00693272" w:rsidRDefault="00ED66FB" w:rsidP="004A3B93">
            <w:pPr>
              <w:spacing w:before="0" w:after="0" w:line="240" w:lineRule="auto"/>
              <w:rPr>
                <w:rFonts w:ascii="Calibri" w:eastAsia="Times New Roman" w:hAnsi="Calibri" w:cs="Calibri"/>
                <w:color w:val="000000"/>
                <w:sz w:val="22"/>
                <w:szCs w:val="22"/>
              </w:rPr>
            </w:pPr>
          </w:p>
        </w:tc>
      </w:tr>
      <w:tr w:rsidR="00ED66FB" w:rsidRPr="00693272" w14:paraId="0A8C22F6" w14:textId="2EDE3440" w:rsidTr="00E376F2">
        <w:trPr>
          <w:trHeight w:val="683"/>
        </w:trPr>
        <w:tc>
          <w:tcPr>
            <w:tcW w:w="2253" w:type="dxa"/>
            <w:noWrap/>
            <w:hideMark/>
          </w:tcPr>
          <w:p w14:paraId="69E39CF4"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7.1</w:t>
            </w:r>
          </w:p>
        </w:tc>
        <w:tc>
          <w:tcPr>
            <w:tcW w:w="10363" w:type="dxa"/>
            <w:hideMark/>
          </w:tcPr>
          <w:p w14:paraId="5C092C0F"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Collaborate on place-based joint energy infrastructure projects which maximise opportunities to deliver low-cost, clean, renewable energy to neighbourhoods and communities, with a focus on areas experiencing inequalities.</w:t>
            </w:r>
          </w:p>
        </w:tc>
        <w:tc>
          <w:tcPr>
            <w:tcW w:w="7938" w:type="dxa"/>
          </w:tcPr>
          <w:p w14:paraId="13FF00F3" w14:textId="1859DAEA" w:rsidR="00ED66FB" w:rsidRPr="00693272" w:rsidRDefault="00ED66F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ED66FB" w:rsidRPr="00693272" w14:paraId="343956E4" w14:textId="687B3BC2" w:rsidTr="00E376F2">
        <w:trPr>
          <w:trHeight w:val="566"/>
        </w:trPr>
        <w:tc>
          <w:tcPr>
            <w:tcW w:w="2253" w:type="dxa"/>
            <w:noWrap/>
            <w:hideMark/>
          </w:tcPr>
          <w:p w14:paraId="3D25FE66"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7.2</w:t>
            </w:r>
          </w:p>
        </w:tc>
        <w:tc>
          <w:tcPr>
            <w:tcW w:w="10363" w:type="dxa"/>
            <w:hideMark/>
          </w:tcPr>
          <w:p w14:paraId="759D7062"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Align strategic investment in the electricity grid with development plans, to support increased local energy generation.</w:t>
            </w:r>
          </w:p>
        </w:tc>
        <w:tc>
          <w:tcPr>
            <w:tcW w:w="7938" w:type="dxa"/>
          </w:tcPr>
          <w:p w14:paraId="2D06AF15" w14:textId="2CD36770" w:rsidR="00ED66FB" w:rsidRPr="00693272" w:rsidRDefault="00ED66F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ED66FB" w:rsidRPr="00693272" w14:paraId="54D4BDE1" w14:textId="3E790849" w:rsidTr="00E376F2">
        <w:trPr>
          <w:trHeight w:val="283"/>
        </w:trPr>
        <w:tc>
          <w:tcPr>
            <w:tcW w:w="2253" w:type="dxa"/>
            <w:shd w:val="clear" w:color="auto" w:fill="D3E2FF" w:themeFill="accent4" w:themeFillTint="1A"/>
            <w:noWrap/>
            <w:hideMark/>
          </w:tcPr>
          <w:p w14:paraId="15A48551"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8</w:t>
            </w:r>
          </w:p>
        </w:tc>
        <w:tc>
          <w:tcPr>
            <w:tcW w:w="10363" w:type="dxa"/>
            <w:shd w:val="clear" w:color="auto" w:fill="D3E2FF" w:themeFill="accent4" w:themeFillTint="1A"/>
            <w:hideMark/>
          </w:tcPr>
          <w:p w14:paraId="639B3889"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Developing community energy generation projects which build community wealth</w:t>
            </w:r>
          </w:p>
        </w:tc>
        <w:tc>
          <w:tcPr>
            <w:tcW w:w="7938" w:type="dxa"/>
            <w:shd w:val="clear" w:color="auto" w:fill="D3E2FF" w:themeFill="accent4" w:themeFillTint="1A"/>
          </w:tcPr>
          <w:p w14:paraId="18E6945F" w14:textId="77777777" w:rsidR="00ED66FB" w:rsidRPr="00693272" w:rsidRDefault="00ED66FB" w:rsidP="004A3B93">
            <w:pPr>
              <w:spacing w:before="0" w:after="0" w:line="240" w:lineRule="auto"/>
              <w:rPr>
                <w:rFonts w:ascii="Calibri" w:eastAsia="Times New Roman" w:hAnsi="Calibri" w:cs="Calibri"/>
                <w:color w:val="000000"/>
                <w:sz w:val="22"/>
                <w:szCs w:val="22"/>
              </w:rPr>
            </w:pPr>
          </w:p>
        </w:tc>
      </w:tr>
      <w:tr w:rsidR="00ED66FB" w:rsidRPr="00693272" w14:paraId="13FD9A98" w14:textId="57FE23DF" w:rsidTr="00E376F2">
        <w:trPr>
          <w:trHeight w:val="566"/>
        </w:trPr>
        <w:tc>
          <w:tcPr>
            <w:tcW w:w="2253" w:type="dxa"/>
            <w:noWrap/>
            <w:hideMark/>
          </w:tcPr>
          <w:p w14:paraId="00853FFA"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8.1</w:t>
            </w:r>
          </w:p>
        </w:tc>
        <w:tc>
          <w:tcPr>
            <w:tcW w:w="10363" w:type="dxa"/>
            <w:hideMark/>
          </w:tcPr>
          <w:p w14:paraId="12F40821"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Explore the potential for creating local energy generation communities as part of proposed net zero communities’ pilots.</w:t>
            </w:r>
          </w:p>
        </w:tc>
        <w:tc>
          <w:tcPr>
            <w:tcW w:w="7938" w:type="dxa"/>
          </w:tcPr>
          <w:p w14:paraId="7A6A7C97" w14:textId="749F57C3" w:rsidR="00ED66FB" w:rsidRPr="00693272" w:rsidRDefault="00ED66F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ED66FB" w:rsidRPr="00693272" w14:paraId="54255C0D" w14:textId="2FA50724" w:rsidTr="00E376F2">
        <w:trPr>
          <w:trHeight w:val="566"/>
        </w:trPr>
        <w:tc>
          <w:tcPr>
            <w:tcW w:w="2253" w:type="dxa"/>
            <w:noWrap/>
            <w:hideMark/>
          </w:tcPr>
          <w:p w14:paraId="03207C35"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8.2</w:t>
            </w:r>
          </w:p>
        </w:tc>
        <w:tc>
          <w:tcPr>
            <w:tcW w:w="10363" w:type="dxa"/>
            <w:hideMark/>
          </w:tcPr>
          <w:p w14:paraId="1049BF92"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Develop a city-wide programme of community energy generation investment opportunities.</w:t>
            </w:r>
          </w:p>
        </w:tc>
        <w:tc>
          <w:tcPr>
            <w:tcW w:w="7938" w:type="dxa"/>
          </w:tcPr>
          <w:p w14:paraId="298FF434" w14:textId="58AAB8EA" w:rsidR="00ED66FB" w:rsidRPr="00693272" w:rsidRDefault="00ED66F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ED66FB" w:rsidRPr="00693272" w14:paraId="51DA67E9" w14:textId="1AC57072" w:rsidTr="00E376F2">
        <w:trPr>
          <w:trHeight w:val="283"/>
        </w:trPr>
        <w:tc>
          <w:tcPr>
            <w:tcW w:w="2253" w:type="dxa"/>
            <w:shd w:val="clear" w:color="auto" w:fill="D3E2FF" w:themeFill="accent4" w:themeFillTint="1A"/>
            <w:noWrap/>
            <w:hideMark/>
          </w:tcPr>
          <w:p w14:paraId="2C0BEB7C"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9</w:t>
            </w:r>
          </w:p>
        </w:tc>
        <w:tc>
          <w:tcPr>
            <w:tcW w:w="10363" w:type="dxa"/>
            <w:shd w:val="clear" w:color="auto" w:fill="D3E2FF" w:themeFill="accent4" w:themeFillTint="1A"/>
            <w:hideMark/>
          </w:tcPr>
          <w:p w14:paraId="6055ACFE"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Retrofitting the city’s social housing and public sector estate</w:t>
            </w:r>
          </w:p>
        </w:tc>
        <w:tc>
          <w:tcPr>
            <w:tcW w:w="7938" w:type="dxa"/>
            <w:shd w:val="clear" w:color="auto" w:fill="D3E2FF" w:themeFill="accent4" w:themeFillTint="1A"/>
          </w:tcPr>
          <w:p w14:paraId="5AE0E6F0" w14:textId="77777777" w:rsidR="00ED66FB" w:rsidRPr="00693272" w:rsidRDefault="00ED66FB" w:rsidP="004A3B93">
            <w:pPr>
              <w:spacing w:before="0" w:after="0" w:line="240" w:lineRule="auto"/>
              <w:rPr>
                <w:rFonts w:ascii="Calibri" w:eastAsia="Times New Roman" w:hAnsi="Calibri" w:cs="Calibri"/>
                <w:color w:val="000000"/>
                <w:sz w:val="22"/>
                <w:szCs w:val="22"/>
              </w:rPr>
            </w:pPr>
          </w:p>
        </w:tc>
      </w:tr>
      <w:tr w:rsidR="00ED66FB" w:rsidRPr="00693272" w14:paraId="7BEB883A" w14:textId="3CA16F41" w:rsidTr="00E376F2">
        <w:trPr>
          <w:trHeight w:val="602"/>
        </w:trPr>
        <w:tc>
          <w:tcPr>
            <w:tcW w:w="2253" w:type="dxa"/>
            <w:noWrap/>
            <w:hideMark/>
          </w:tcPr>
          <w:p w14:paraId="42D1351A"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lastRenderedPageBreak/>
              <w:t>9.1</w:t>
            </w:r>
          </w:p>
        </w:tc>
        <w:tc>
          <w:tcPr>
            <w:tcW w:w="10363" w:type="dxa"/>
            <w:hideMark/>
          </w:tcPr>
          <w:p w14:paraId="6EEF1004"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Develop a Whole House Retrofit delivery programme for retrofitting social housing across the city to the highest energy standards, to reduce energy demand and tackle fuel poverty.</w:t>
            </w:r>
          </w:p>
        </w:tc>
        <w:tc>
          <w:tcPr>
            <w:tcW w:w="7938" w:type="dxa"/>
          </w:tcPr>
          <w:p w14:paraId="29DD335D" w14:textId="0B334DFA" w:rsidR="00ED66FB" w:rsidRPr="00693272" w:rsidRDefault="00ED66F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ED66FB" w:rsidRPr="00693272" w14:paraId="56E4D397" w14:textId="67BAF273" w:rsidTr="00E376F2">
        <w:trPr>
          <w:trHeight w:val="647"/>
        </w:trPr>
        <w:tc>
          <w:tcPr>
            <w:tcW w:w="2253" w:type="dxa"/>
            <w:noWrap/>
            <w:hideMark/>
          </w:tcPr>
          <w:p w14:paraId="15D60F9C"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9.2</w:t>
            </w:r>
          </w:p>
        </w:tc>
        <w:tc>
          <w:tcPr>
            <w:tcW w:w="10363" w:type="dxa"/>
            <w:hideMark/>
          </w:tcPr>
          <w:p w14:paraId="502194EF"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Establish an Energy Efficient Public Buildings Partnership (EEPBP) to collaborate on retrofit, align investment plans and encourage confidence in, and planning for, the business and skills supply chain needed to deliver.</w:t>
            </w:r>
          </w:p>
        </w:tc>
        <w:tc>
          <w:tcPr>
            <w:tcW w:w="7938" w:type="dxa"/>
          </w:tcPr>
          <w:p w14:paraId="2301F8D4" w14:textId="0E7137FB" w:rsidR="00ED66FB" w:rsidRPr="00693272" w:rsidRDefault="00ED66F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ED66FB" w:rsidRPr="00693272" w14:paraId="32903761" w14:textId="71C19523" w:rsidTr="00E376F2">
        <w:trPr>
          <w:trHeight w:val="566"/>
        </w:trPr>
        <w:tc>
          <w:tcPr>
            <w:tcW w:w="2253" w:type="dxa"/>
            <w:noWrap/>
            <w:hideMark/>
          </w:tcPr>
          <w:p w14:paraId="239634A7"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9.3</w:t>
            </w:r>
          </w:p>
        </w:tc>
        <w:tc>
          <w:tcPr>
            <w:tcW w:w="10363" w:type="dxa"/>
            <w:hideMark/>
          </w:tcPr>
          <w:p w14:paraId="546EBA9E"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Ensure retrofit programmes create green jobs and fair work opportunities for citizens, targeting those at greatest risk of poverty.</w:t>
            </w:r>
          </w:p>
        </w:tc>
        <w:tc>
          <w:tcPr>
            <w:tcW w:w="7938" w:type="dxa"/>
          </w:tcPr>
          <w:p w14:paraId="4EE336D6" w14:textId="6A817BEB" w:rsidR="00ED66FB" w:rsidRPr="00693272" w:rsidRDefault="00ED66F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ED66FB" w:rsidRPr="00693272" w14:paraId="74A20965" w14:textId="08ADFE0B" w:rsidTr="00E376F2">
        <w:trPr>
          <w:trHeight w:val="283"/>
        </w:trPr>
        <w:tc>
          <w:tcPr>
            <w:tcW w:w="2253" w:type="dxa"/>
            <w:shd w:val="clear" w:color="auto" w:fill="D3E2FF" w:themeFill="accent4" w:themeFillTint="1A"/>
            <w:noWrap/>
            <w:hideMark/>
          </w:tcPr>
          <w:p w14:paraId="54954038"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10</w:t>
            </w:r>
          </w:p>
        </w:tc>
        <w:tc>
          <w:tcPr>
            <w:tcW w:w="10363" w:type="dxa"/>
            <w:shd w:val="clear" w:color="auto" w:fill="D3E2FF" w:themeFill="accent4" w:themeFillTint="1A"/>
            <w:hideMark/>
          </w:tcPr>
          <w:p w14:paraId="7CCD8CDE"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Resourcing net zero public buildings</w:t>
            </w:r>
          </w:p>
        </w:tc>
        <w:tc>
          <w:tcPr>
            <w:tcW w:w="7938" w:type="dxa"/>
            <w:shd w:val="clear" w:color="auto" w:fill="D3E2FF" w:themeFill="accent4" w:themeFillTint="1A"/>
          </w:tcPr>
          <w:p w14:paraId="396CCBF4" w14:textId="77777777" w:rsidR="00ED66FB" w:rsidRPr="00693272" w:rsidRDefault="00ED66FB" w:rsidP="004A3B93">
            <w:pPr>
              <w:spacing w:before="0" w:after="0" w:line="240" w:lineRule="auto"/>
              <w:rPr>
                <w:rFonts w:ascii="Calibri" w:eastAsia="Times New Roman" w:hAnsi="Calibri" w:cs="Calibri"/>
                <w:color w:val="000000"/>
                <w:sz w:val="22"/>
                <w:szCs w:val="22"/>
              </w:rPr>
            </w:pPr>
          </w:p>
        </w:tc>
      </w:tr>
      <w:tr w:rsidR="00ED66FB" w:rsidRPr="00693272" w14:paraId="66608E79" w14:textId="55942ED0" w:rsidTr="00E376F2">
        <w:trPr>
          <w:trHeight w:val="566"/>
        </w:trPr>
        <w:tc>
          <w:tcPr>
            <w:tcW w:w="2253" w:type="dxa"/>
            <w:noWrap/>
            <w:hideMark/>
          </w:tcPr>
          <w:p w14:paraId="074F6580"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10.1</w:t>
            </w:r>
          </w:p>
        </w:tc>
        <w:tc>
          <w:tcPr>
            <w:tcW w:w="10363" w:type="dxa"/>
            <w:hideMark/>
          </w:tcPr>
          <w:p w14:paraId="0BF59215"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Call on the Scottish Government to work with city partners to identify and deploy sufficient resources to deliver net zero public buildings.</w:t>
            </w:r>
          </w:p>
        </w:tc>
        <w:tc>
          <w:tcPr>
            <w:tcW w:w="7938" w:type="dxa"/>
          </w:tcPr>
          <w:p w14:paraId="33DFA636" w14:textId="1BCE7AAE" w:rsidR="00ED66FB" w:rsidRPr="00693272" w:rsidRDefault="00ED66F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ED66FB" w:rsidRPr="00693272" w14:paraId="5C3BF30A" w14:textId="6C964B0B" w:rsidTr="00E376F2">
        <w:trPr>
          <w:trHeight w:val="283"/>
        </w:trPr>
        <w:tc>
          <w:tcPr>
            <w:tcW w:w="2253" w:type="dxa"/>
            <w:shd w:val="clear" w:color="auto" w:fill="D3E2FF" w:themeFill="accent4" w:themeFillTint="1A"/>
            <w:noWrap/>
            <w:hideMark/>
          </w:tcPr>
          <w:p w14:paraId="1FB446D7"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11</w:t>
            </w:r>
          </w:p>
        </w:tc>
        <w:tc>
          <w:tcPr>
            <w:tcW w:w="10363" w:type="dxa"/>
            <w:shd w:val="clear" w:color="auto" w:fill="D3E2FF" w:themeFill="accent4" w:themeFillTint="1A"/>
            <w:hideMark/>
          </w:tcPr>
          <w:p w14:paraId="620E5E13"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Supporting small businesses, owner occupiers and private landlords</w:t>
            </w:r>
          </w:p>
        </w:tc>
        <w:tc>
          <w:tcPr>
            <w:tcW w:w="7938" w:type="dxa"/>
            <w:shd w:val="clear" w:color="auto" w:fill="D3E2FF" w:themeFill="accent4" w:themeFillTint="1A"/>
          </w:tcPr>
          <w:p w14:paraId="1E5B9E6B" w14:textId="77777777" w:rsidR="00ED66FB" w:rsidRPr="00693272" w:rsidRDefault="00ED66FB" w:rsidP="004A3B93">
            <w:pPr>
              <w:spacing w:before="0" w:after="0" w:line="240" w:lineRule="auto"/>
              <w:rPr>
                <w:rFonts w:ascii="Calibri" w:eastAsia="Times New Roman" w:hAnsi="Calibri" w:cs="Calibri"/>
                <w:color w:val="000000"/>
                <w:sz w:val="22"/>
                <w:szCs w:val="22"/>
              </w:rPr>
            </w:pPr>
          </w:p>
        </w:tc>
      </w:tr>
      <w:tr w:rsidR="00ED66FB" w:rsidRPr="00693272" w14:paraId="5EAC1555" w14:textId="47429485" w:rsidTr="00E376F2">
        <w:trPr>
          <w:trHeight w:val="566"/>
        </w:trPr>
        <w:tc>
          <w:tcPr>
            <w:tcW w:w="2253" w:type="dxa"/>
            <w:noWrap/>
            <w:hideMark/>
          </w:tcPr>
          <w:p w14:paraId="02E7B54E"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11.1</w:t>
            </w:r>
          </w:p>
        </w:tc>
        <w:tc>
          <w:tcPr>
            <w:tcW w:w="10363" w:type="dxa"/>
            <w:hideMark/>
          </w:tcPr>
          <w:p w14:paraId="0E232FAE"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Develop a new mechanism and business plan to support small businesses, owner-occupiers and private landlords to affordably retrofit their properties.</w:t>
            </w:r>
          </w:p>
        </w:tc>
        <w:tc>
          <w:tcPr>
            <w:tcW w:w="7938" w:type="dxa"/>
          </w:tcPr>
          <w:p w14:paraId="31F9A814" w14:textId="03F39392" w:rsidR="00ED66FB" w:rsidRPr="00693272" w:rsidRDefault="00ED66F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ED66FB" w:rsidRPr="00693272" w14:paraId="282A0D71" w14:textId="5A8348B6" w:rsidTr="00E376F2">
        <w:trPr>
          <w:trHeight w:val="431"/>
        </w:trPr>
        <w:tc>
          <w:tcPr>
            <w:tcW w:w="2253" w:type="dxa"/>
            <w:noWrap/>
            <w:hideMark/>
          </w:tcPr>
          <w:p w14:paraId="0ABB5970"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11.2</w:t>
            </w:r>
          </w:p>
        </w:tc>
        <w:tc>
          <w:tcPr>
            <w:tcW w:w="10363" w:type="dxa"/>
            <w:hideMark/>
          </w:tcPr>
          <w:p w14:paraId="5062E551"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Develop electricity grid infrastructure and capacity to respond to increased demand from electric-powered heat.</w:t>
            </w:r>
          </w:p>
        </w:tc>
        <w:tc>
          <w:tcPr>
            <w:tcW w:w="7938" w:type="dxa"/>
          </w:tcPr>
          <w:p w14:paraId="7751DE52" w14:textId="34EC176D" w:rsidR="00ED66FB" w:rsidRPr="00693272" w:rsidRDefault="00ED66F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ED66FB" w:rsidRPr="00693272" w14:paraId="4DA9DF0B" w14:textId="231BADDC" w:rsidTr="00E376F2">
        <w:trPr>
          <w:trHeight w:val="549"/>
        </w:trPr>
        <w:tc>
          <w:tcPr>
            <w:tcW w:w="2253" w:type="dxa"/>
            <w:noWrap/>
            <w:hideMark/>
          </w:tcPr>
          <w:p w14:paraId="7052681D"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11.3</w:t>
            </w:r>
          </w:p>
        </w:tc>
        <w:tc>
          <w:tcPr>
            <w:tcW w:w="10363" w:type="dxa"/>
            <w:hideMark/>
          </w:tcPr>
          <w:p w14:paraId="247105FD"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Work with SP Energy Networks and the Scottish Government to identify measures to reduce the cost of electricity and support citizens to transition away from gas.</w:t>
            </w:r>
          </w:p>
        </w:tc>
        <w:tc>
          <w:tcPr>
            <w:tcW w:w="7938" w:type="dxa"/>
          </w:tcPr>
          <w:p w14:paraId="39037FD0" w14:textId="4B52F025" w:rsidR="00ED66FB" w:rsidRPr="00693272" w:rsidRDefault="00ED66F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ED66FB" w:rsidRPr="00693272" w14:paraId="30865960" w14:textId="556F0461" w:rsidTr="00E376F2">
        <w:trPr>
          <w:trHeight w:val="566"/>
        </w:trPr>
        <w:tc>
          <w:tcPr>
            <w:tcW w:w="2253" w:type="dxa"/>
            <w:noWrap/>
            <w:hideMark/>
          </w:tcPr>
          <w:p w14:paraId="08DE82B0"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11.4</w:t>
            </w:r>
          </w:p>
        </w:tc>
        <w:tc>
          <w:tcPr>
            <w:tcW w:w="10363" w:type="dxa"/>
            <w:hideMark/>
          </w:tcPr>
          <w:p w14:paraId="5B485DAC"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Call on the Scottish Government to bring forward at speed improved schemes to support citizens to fund energy efficiency upgrades.</w:t>
            </w:r>
          </w:p>
        </w:tc>
        <w:tc>
          <w:tcPr>
            <w:tcW w:w="7938" w:type="dxa"/>
          </w:tcPr>
          <w:p w14:paraId="72AFCF66" w14:textId="1D8280C4" w:rsidR="00ED66FB" w:rsidRPr="00693272" w:rsidRDefault="00ED66F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ED66FB" w:rsidRPr="00693272" w14:paraId="6363A0E0" w14:textId="0D1D518F" w:rsidTr="00E376F2">
        <w:trPr>
          <w:trHeight w:val="283"/>
        </w:trPr>
        <w:tc>
          <w:tcPr>
            <w:tcW w:w="2253" w:type="dxa"/>
            <w:shd w:val="clear" w:color="auto" w:fill="D3E2FF" w:themeFill="accent4" w:themeFillTint="1A"/>
            <w:noWrap/>
            <w:hideMark/>
          </w:tcPr>
          <w:p w14:paraId="6A8FFFA9"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12</w:t>
            </w:r>
          </w:p>
        </w:tc>
        <w:tc>
          <w:tcPr>
            <w:tcW w:w="10363" w:type="dxa"/>
            <w:shd w:val="clear" w:color="auto" w:fill="D3E2FF" w:themeFill="accent4" w:themeFillTint="1A"/>
            <w:hideMark/>
          </w:tcPr>
          <w:p w14:paraId="314FF480"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Testing innovative approaches for challenging settings</w:t>
            </w:r>
          </w:p>
        </w:tc>
        <w:tc>
          <w:tcPr>
            <w:tcW w:w="7938" w:type="dxa"/>
            <w:shd w:val="clear" w:color="auto" w:fill="D3E2FF" w:themeFill="accent4" w:themeFillTint="1A"/>
          </w:tcPr>
          <w:p w14:paraId="7E7F753E" w14:textId="77777777" w:rsidR="00ED66FB" w:rsidRPr="00693272" w:rsidRDefault="00ED66FB" w:rsidP="004A3B93">
            <w:pPr>
              <w:spacing w:before="0" w:after="0" w:line="240" w:lineRule="auto"/>
              <w:rPr>
                <w:rFonts w:ascii="Calibri" w:eastAsia="Times New Roman" w:hAnsi="Calibri" w:cs="Calibri"/>
                <w:color w:val="000000"/>
                <w:sz w:val="22"/>
                <w:szCs w:val="22"/>
              </w:rPr>
            </w:pPr>
          </w:p>
        </w:tc>
      </w:tr>
      <w:tr w:rsidR="00ED66FB" w:rsidRPr="00693272" w14:paraId="474A59A8" w14:textId="67A7F85A" w:rsidTr="00E376F2">
        <w:trPr>
          <w:trHeight w:val="566"/>
        </w:trPr>
        <w:tc>
          <w:tcPr>
            <w:tcW w:w="2253" w:type="dxa"/>
            <w:noWrap/>
            <w:hideMark/>
          </w:tcPr>
          <w:p w14:paraId="001F8B12"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12.1</w:t>
            </w:r>
          </w:p>
        </w:tc>
        <w:tc>
          <w:tcPr>
            <w:tcW w:w="10363" w:type="dxa"/>
            <w:hideMark/>
          </w:tcPr>
          <w:p w14:paraId="5526CEE9" w14:textId="77777777" w:rsidR="00ED66FB" w:rsidRPr="00693272" w:rsidRDefault="00ED66FB" w:rsidP="004A3B93">
            <w:pPr>
              <w:spacing w:before="0" w:after="0" w:line="240" w:lineRule="auto"/>
              <w:rPr>
                <w:rFonts w:ascii="Calibri" w:eastAsia="Times New Roman" w:hAnsi="Calibri" w:cs="Calibri"/>
                <w:color w:val="000000"/>
                <w:sz w:val="22"/>
                <w:szCs w:val="22"/>
              </w:rPr>
            </w:pPr>
            <w:r w:rsidRPr="00693272">
              <w:rPr>
                <w:rFonts w:ascii="Calibri" w:eastAsia="Times New Roman" w:hAnsi="Calibri" w:cs="Calibri"/>
                <w:color w:val="000000"/>
                <w:sz w:val="22"/>
                <w:szCs w:val="22"/>
              </w:rPr>
              <w:t>Scope and test innovative approaches to retrofit in challenging mixed-tenure settings, to develop models and accelerate progress.</w:t>
            </w:r>
          </w:p>
        </w:tc>
        <w:tc>
          <w:tcPr>
            <w:tcW w:w="7938" w:type="dxa"/>
          </w:tcPr>
          <w:p w14:paraId="4E742DBD" w14:textId="3FF76202" w:rsidR="00ED66FB" w:rsidRPr="00693272" w:rsidRDefault="00ED66F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bl>
    <w:p w14:paraId="43A93852" w14:textId="77777777" w:rsidR="004A02BE" w:rsidRDefault="004A02BE" w:rsidP="00D02CB1">
      <w:pPr>
        <w:pStyle w:val="BodyText"/>
        <w:sectPr w:rsidR="004A02BE" w:rsidSect="007B618C">
          <w:pgSz w:w="23811" w:h="16838" w:orient="landscape" w:code="8"/>
          <w:pgMar w:top="1134" w:right="1134" w:bottom="1134" w:left="567" w:header="567" w:footer="0" w:gutter="0"/>
          <w:cols w:space="720"/>
          <w:docGrid w:linePitch="360"/>
        </w:sectPr>
      </w:pPr>
    </w:p>
    <w:p w14:paraId="01D748AE" w14:textId="7E8A10B5" w:rsidR="00820CFF" w:rsidRPr="004A02BE" w:rsidRDefault="00820CFF" w:rsidP="00B9775A">
      <w:pPr>
        <w:pStyle w:val="BodyText"/>
        <w:tabs>
          <w:tab w:val="left" w:pos="915"/>
        </w:tabs>
      </w:pPr>
      <w:r>
        <w:lastRenderedPageBreak/>
        <w:t xml:space="preserve">Table </w:t>
      </w:r>
      <w:r w:rsidR="00A62F38">
        <w:t>D.</w:t>
      </w:r>
      <w:r w:rsidR="007341D4">
        <w:fldChar w:fldCharType="begin"/>
      </w:r>
      <w:r w:rsidR="007341D4">
        <w:instrText xml:space="preserve"> SEQ Table \* ARABIC </w:instrText>
      </w:r>
      <w:r w:rsidR="007341D4">
        <w:fldChar w:fldCharType="separate"/>
      </w:r>
      <w:r w:rsidR="00B9775A">
        <w:rPr>
          <w:noProof/>
        </w:rPr>
        <w:t>3</w:t>
      </w:r>
      <w:r w:rsidR="007341D4">
        <w:rPr>
          <w:noProof/>
        </w:rPr>
        <w:fldChar w:fldCharType="end"/>
      </w:r>
      <w:r>
        <w:t xml:space="preserve">: </w:t>
      </w:r>
      <w:r w:rsidR="00B9775A">
        <w:t xml:space="preserve">Net Zero </w:t>
      </w:r>
      <w:r>
        <w:t xml:space="preserve">Emissions Transport Strategic Action </w:t>
      </w:r>
      <w:r w:rsidR="00B9775A">
        <w:t xml:space="preserve">Area </w:t>
      </w:r>
      <w:r>
        <w:t>Sift</w:t>
      </w:r>
    </w:p>
    <w:tbl>
      <w:tblPr>
        <w:tblStyle w:val="JacobsTable1accentprimarythemes"/>
        <w:tblW w:w="21121" w:type="dxa"/>
        <w:tblLook w:val="04A0" w:firstRow="1" w:lastRow="0" w:firstColumn="1" w:lastColumn="0" w:noHBand="0" w:noVBand="1"/>
      </w:tblPr>
      <w:tblGrid>
        <w:gridCol w:w="1506"/>
        <w:gridCol w:w="11110"/>
        <w:gridCol w:w="8505"/>
      </w:tblGrid>
      <w:tr w:rsidR="00131DAB" w14:paraId="4454B410" w14:textId="59EBAACD" w:rsidTr="00E376F2">
        <w:trPr>
          <w:cnfStyle w:val="100000000000" w:firstRow="1" w:lastRow="0" w:firstColumn="0" w:lastColumn="0" w:oddVBand="0" w:evenVBand="0" w:oddHBand="0" w:evenHBand="0" w:firstRowFirstColumn="0" w:firstRowLastColumn="0" w:lastRowFirstColumn="0" w:lastRowLastColumn="0"/>
          <w:trHeight w:val="279"/>
        </w:trPr>
        <w:tc>
          <w:tcPr>
            <w:tcW w:w="1506" w:type="dxa"/>
          </w:tcPr>
          <w:p w14:paraId="3B0BFD00" w14:textId="77777777" w:rsidR="00131DAB" w:rsidRDefault="00131DAB" w:rsidP="004A3B93">
            <w:pPr>
              <w:pStyle w:val="BodyText"/>
              <w:spacing w:before="0" w:after="0"/>
            </w:pPr>
            <w:r>
              <w:t>Number</w:t>
            </w:r>
          </w:p>
        </w:tc>
        <w:tc>
          <w:tcPr>
            <w:tcW w:w="11110" w:type="dxa"/>
          </w:tcPr>
          <w:p w14:paraId="55F5AEE9" w14:textId="11AFF38E" w:rsidR="00131DAB" w:rsidRDefault="00131DAB" w:rsidP="004A3B93">
            <w:pPr>
              <w:pStyle w:val="BodyText"/>
              <w:spacing w:before="0" w:after="0"/>
            </w:pPr>
            <w:r>
              <w:t xml:space="preserve">Strategic Action </w:t>
            </w:r>
          </w:p>
        </w:tc>
        <w:tc>
          <w:tcPr>
            <w:tcW w:w="8505" w:type="dxa"/>
          </w:tcPr>
          <w:p w14:paraId="41D54C6F" w14:textId="0346D3E2" w:rsidR="00131DAB" w:rsidRDefault="00131DAB" w:rsidP="004A3B93">
            <w:pPr>
              <w:pStyle w:val="BodyText"/>
              <w:spacing w:before="0" w:after="0"/>
            </w:pPr>
            <w:r>
              <w:t>Sifted in / out</w:t>
            </w:r>
          </w:p>
        </w:tc>
      </w:tr>
      <w:tr w:rsidR="00131DAB" w:rsidRPr="00A62F38" w14:paraId="594E5EB6" w14:textId="629B5F43" w:rsidTr="00E376F2">
        <w:trPr>
          <w:trHeight w:val="288"/>
        </w:trPr>
        <w:tc>
          <w:tcPr>
            <w:tcW w:w="1506" w:type="dxa"/>
            <w:shd w:val="clear" w:color="auto" w:fill="D3E2FF" w:themeFill="accent4" w:themeFillTint="1A"/>
            <w:noWrap/>
            <w:hideMark/>
          </w:tcPr>
          <w:p w14:paraId="7B9665CB"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1</w:t>
            </w:r>
          </w:p>
        </w:tc>
        <w:tc>
          <w:tcPr>
            <w:tcW w:w="11110" w:type="dxa"/>
            <w:shd w:val="clear" w:color="auto" w:fill="D3E2FF" w:themeFill="accent4" w:themeFillTint="1A"/>
            <w:noWrap/>
            <w:hideMark/>
          </w:tcPr>
          <w:p w14:paraId="53CC2258"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Investing in active travel</w:t>
            </w:r>
          </w:p>
        </w:tc>
        <w:tc>
          <w:tcPr>
            <w:tcW w:w="8505" w:type="dxa"/>
            <w:shd w:val="clear" w:color="auto" w:fill="D3E2FF" w:themeFill="accent4" w:themeFillTint="1A"/>
          </w:tcPr>
          <w:p w14:paraId="799B17D9" w14:textId="77777777" w:rsidR="00131DAB" w:rsidRPr="00A62F38" w:rsidRDefault="00131DAB" w:rsidP="004A3B93">
            <w:pPr>
              <w:spacing w:before="0" w:after="0" w:line="240" w:lineRule="auto"/>
              <w:rPr>
                <w:rFonts w:ascii="Calibri" w:eastAsia="Times New Roman" w:hAnsi="Calibri" w:cs="Calibri"/>
                <w:color w:val="000000"/>
                <w:sz w:val="22"/>
                <w:szCs w:val="22"/>
              </w:rPr>
            </w:pPr>
          </w:p>
        </w:tc>
      </w:tr>
      <w:tr w:rsidR="00131DAB" w:rsidRPr="00A62F38" w14:paraId="1A22DE9B" w14:textId="5BB611DD" w:rsidTr="00E376F2">
        <w:trPr>
          <w:trHeight w:val="576"/>
        </w:trPr>
        <w:tc>
          <w:tcPr>
            <w:tcW w:w="1506" w:type="dxa"/>
            <w:noWrap/>
            <w:hideMark/>
          </w:tcPr>
          <w:p w14:paraId="2E9456AB"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1.1</w:t>
            </w:r>
          </w:p>
        </w:tc>
        <w:tc>
          <w:tcPr>
            <w:tcW w:w="11110" w:type="dxa"/>
            <w:hideMark/>
          </w:tcPr>
          <w:p w14:paraId="0BCD9CD7"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Prioritise investment in expanding the active travel network, connecting communities to services and amenities in their neighbourhoods.</w:t>
            </w:r>
          </w:p>
        </w:tc>
        <w:tc>
          <w:tcPr>
            <w:tcW w:w="8505" w:type="dxa"/>
          </w:tcPr>
          <w:p w14:paraId="076BA783" w14:textId="41122F74" w:rsidR="00131DAB" w:rsidRPr="00A62F38"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Out</w:t>
            </w:r>
            <w:r w:rsidRPr="00A62F38">
              <w:rPr>
                <w:rFonts w:ascii="Calibri" w:eastAsia="Times New Roman" w:hAnsi="Calibri" w:cs="Calibri"/>
                <w:color w:val="000000"/>
                <w:sz w:val="22"/>
                <w:szCs w:val="22"/>
              </w:rPr>
              <w:t xml:space="preserve"> - </w:t>
            </w:r>
            <w:r>
              <w:rPr>
                <w:rFonts w:ascii="Calibri" w:eastAsia="Times New Roman" w:hAnsi="Calibri" w:cs="Calibri"/>
                <w:color w:val="000000"/>
                <w:sz w:val="22"/>
                <w:szCs w:val="22"/>
              </w:rPr>
              <w:t>Focus is placed on the importance of investing in active travel throughout the CMP. Specifically, Policy Measure Movement 14: Walking and Wheeling and Policy Measure Movement 15: Cycling (pages 30-32) demonstrate the ways that active travel networks can be enhances and expanded as necessary to serve and connect key destinations across the city. Within the city plan, active travel investment is likewise outlined as a key strategy for making Edinburgh more sustainable. This it outlined in the Green Blue Network section (page 22) and key active travel proposals (page 45) that are integrated into each place e.g. Place 7: Stead’s Place (page 60).</w:t>
            </w:r>
          </w:p>
        </w:tc>
      </w:tr>
      <w:tr w:rsidR="00131DAB" w:rsidRPr="00A62F38" w14:paraId="76547D95" w14:textId="69AA8792" w:rsidTr="00E376F2">
        <w:trPr>
          <w:trHeight w:val="288"/>
        </w:trPr>
        <w:tc>
          <w:tcPr>
            <w:tcW w:w="1506" w:type="dxa"/>
            <w:shd w:val="clear" w:color="auto" w:fill="D3E2FF" w:themeFill="accent4" w:themeFillTint="1A"/>
            <w:noWrap/>
            <w:hideMark/>
          </w:tcPr>
          <w:p w14:paraId="0A6AA880"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2</w:t>
            </w:r>
          </w:p>
        </w:tc>
        <w:tc>
          <w:tcPr>
            <w:tcW w:w="11110" w:type="dxa"/>
            <w:shd w:val="clear" w:color="auto" w:fill="D3E2FF" w:themeFill="accent4" w:themeFillTint="1A"/>
            <w:noWrap/>
            <w:hideMark/>
          </w:tcPr>
          <w:p w14:paraId="38CEF331"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Developing integrated public transport</w:t>
            </w:r>
          </w:p>
        </w:tc>
        <w:tc>
          <w:tcPr>
            <w:tcW w:w="8505" w:type="dxa"/>
            <w:shd w:val="clear" w:color="auto" w:fill="D3E2FF" w:themeFill="accent4" w:themeFillTint="1A"/>
          </w:tcPr>
          <w:p w14:paraId="73105DE7" w14:textId="77777777" w:rsidR="00131DAB" w:rsidRPr="00A62F38" w:rsidRDefault="00131DAB" w:rsidP="004A3B93">
            <w:pPr>
              <w:spacing w:before="0" w:after="0" w:line="240" w:lineRule="auto"/>
              <w:rPr>
                <w:rFonts w:ascii="Calibri" w:eastAsia="Times New Roman" w:hAnsi="Calibri" w:cs="Calibri"/>
                <w:color w:val="000000"/>
                <w:sz w:val="22"/>
                <w:szCs w:val="22"/>
              </w:rPr>
            </w:pPr>
          </w:p>
        </w:tc>
      </w:tr>
      <w:tr w:rsidR="00131DAB" w:rsidRPr="00A62F38" w14:paraId="33CC4EF1" w14:textId="364CFF83" w:rsidTr="00E376F2">
        <w:trPr>
          <w:trHeight w:val="576"/>
        </w:trPr>
        <w:tc>
          <w:tcPr>
            <w:tcW w:w="1506" w:type="dxa"/>
            <w:noWrap/>
            <w:hideMark/>
          </w:tcPr>
          <w:p w14:paraId="2262B4B7"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2.1</w:t>
            </w:r>
          </w:p>
        </w:tc>
        <w:tc>
          <w:tcPr>
            <w:tcW w:w="11110" w:type="dxa"/>
            <w:hideMark/>
          </w:tcPr>
          <w:p w14:paraId="3FBBA66C"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 xml:space="preserve"> Improve the integration of our public transport system, and review routes and interchanges, within a city and regional context.</w:t>
            </w:r>
          </w:p>
        </w:tc>
        <w:tc>
          <w:tcPr>
            <w:tcW w:w="8505" w:type="dxa"/>
          </w:tcPr>
          <w:p w14:paraId="6C2D14A9" w14:textId="7513ADCC" w:rsidR="00131DAB" w:rsidRPr="00A62F38"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Out</w:t>
            </w:r>
            <w:r w:rsidRPr="00A62F38">
              <w:rPr>
                <w:rFonts w:ascii="Calibri" w:eastAsia="Times New Roman" w:hAnsi="Calibri" w:cs="Calibri"/>
                <w:color w:val="000000"/>
                <w:sz w:val="22"/>
                <w:szCs w:val="22"/>
              </w:rPr>
              <w:t xml:space="preserve"> - </w:t>
            </w:r>
            <w:r>
              <w:rPr>
                <w:rFonts w:ascii="Calibri" w:eastAsia="Times New Roman" w:hAnsi="Calibri" w:cs="Calibri"/>
                <w:color w:val="000000"/>
                <w:sz w:val="22"/>
                <w:szCs w:val="22"/>
              </w:rPr>
              <w:t xml:space="preserve">Multiple policy measures within the CMP seek to improve the integration our public transport system. E.g. People2: Travel Plans seeks to improve the inclusivity and accessibility of public transport routes. A review of routes is provided on page 20 – outlining the public transport routes across the city and identifying areas of the city where high concentrations of people exist but with low levels of access to public transport. The City Plan promotes public transport integration through the mass transit network, proposing new public transport actions that identifies where public transport provision could be improved and extended (page 32).  </w:t>
            </w:r>
          </w:p>
        </w:tc>
      </w:tr>
      <w:tr w:rsidR="00131DAB" w:rsidRPr="00A62F38" w14:paraId="48DA4666" w14:textId="01D80B2D" w:rsidTr="00E376F2">
        <w:trPr>
          <w:trHeight w:val="288"/>
        </w:trPr>
        <w:tc>
          <w:tcPr>
            <w:tcW w:w="1506" w:type="dxa"/>
            <w:shd w:val="clear" w:color="auto" w:fill="D3E2FF" w:themeFill="accent4" w:themeFillTint="1A"/>
            <w:noWrap/>
            <w:hideMark/>
          </w:tcPr>
          <w:p w14:paraId="09BB13E0"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3</w:t>
            </w:r>
          </w:p>
        </w:tc>
        <w:tc>
          <w:tcPr>
            <w:tcW w:w="11110" w:type="dxa"/>
            <w:shd w:val="clear" w:color="auto" w:fill="D3E2FF" w:themeFill="accent4" w:themeFillTint="1A"/>
            <w:noWrap/>
            <w:hideMark/>
          </w:tcPr>
          <w:p w14:paraId="68F63849"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 xml:space="preserve"> Decarbonising buses</w:t>
            </w:r>
          </w:p>
        </w:tc>
        <w:tc>
          <w:tcPr>
            <w:tcW w:w="8505" w:type="dxa"/>
            <w:shd w:val="clear" w:color="auto" w:fill="D3E2FF" w:themeFill="accent4" w:themeFillTint="1A"/>
          </w:tcPr>
          <w:p w14:paraId="597D09CA" w14:textId="77777777" w:rsidR="00131DAB" w:rsidRPr="00A62F38" w:rsidRDefault="00131DAB" w:rsidP="004A3B93">
            <w:pPr>
              <w:spacing w:before="0" w:after="0" w:line="240" w:lineRule="auto"/>
              <w:rPr>
                <w:rFonts w:ascii="Calibri" w:eastAsia="Times New Roman" w:hAnsi="Calibri" w:cs="Calibri"/>
                <w:color w:val="000000"/>
                <w:sz w:val="22"/>
                <w:szCs w:val="22"/>
              </w:rPr>
            </w:pPr>
          </w:p>
        </w:tc>
      </w:tr>
      <w:tr w:rsidR="00131DAB" w:rsidRPr="00A62F38" w14:paraId="6BF7C808" w14:textId="791BBED8" w:rsidTr="00E376F2">
        <w:trPr>
          <w:trHeight w:val="576"/>
        </w:trPr>
        <w:tc>
          <w:tcPr>
            <w:tcW w:w="1506" w:type="dxa"/>
            <w:noWrap/>
            <w:hideMark/>
          </w:tcPr>
          <w:p w14:paraId="78CB96E3"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3.1</w:t>
            </w:r>
          </w:p>
        </w:tc>
        <w:tc>
          <w:tcPr>
            <w:tcW w:w="11110" w:type="dxa"/>
            <w:hideMark/>
          </w:tcPr>
          <w:p w14:paraId="35686885"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 xml:space="preserve"> Work with the Bus Decarbonisation Taskforce and private sector partners to develop a plan to decarbonise the city’s bus fleet.</w:t>
            </w:r>
          </w:p>
        </w:tc>
        <w:tc>
          <w:tcPr>
            <w:tcW w:w="8505" w:type="dxa"/>
          </w:tcPr>
          <w:p w14:paraId="05AA80E2" w14:textId="49B37C76" w:rsidR="00131DAB" w:rsidRPr="00A62F38"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Out</w:t>
            </w:r>
            <w:r w:rsidRPr="00A62F38">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w:t>
            </w:r>
            <w:r w:rsidRPr="00A62F38">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 xml:space="preserve">CMP Policy Measure Movement 32: Cleaner Vehicles outlines that it is important that the city’s bus fleet is as clean as possible. By 2021 80% of Lothian Buses fleet is expected to be Euro VI standard. To implement this, the CMP suggests the Bus Decarbonisation Taskforce, comprised of leaders from the bus, energy and finance sectors, aiming to ensure that the majority of new buses purchased from 2024 are zero emissions. The CMP also recommends that by the end of this decade, a fleet of low carbon buses carries all passengers at no or very low cost to the passenger (page 18).  </w:t>
            </w:r>
          </w:p>
        </w:tc>
      </w:tr>
      <w:tr w:rsidR="00131DAB" w:rsidRPr="00A62F38" w14:paraId="2AF1967F" w14:textId="0A4AD02B" w:rsidTr="00E376F2">
        <w:trPr>
          <w:trHeight w:val="288"/>
        </w:trPr>
        <w:tc>
          <w:tcPr>
            <w:tcW w:w="1506" w:type="dxa"/>
            <w:shd w:val="clear" w:color="auto" w:fill="D3E2FF" w:themeFill="accent4" w:themeFillTint="1A"/>
            <w:noWrap/>
            <w:hideMark/>
          </w:tcPr>
          <w:p w14:paraId="555ABBC0"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4</w:t>
            </w:r>
          </w:p>
        </w:tc>
        <w:tc>
          <w:tcPr>
            <w:tcW w:w="11110" w:type="dxa"/>
            <w:shd w:val="clear" w:color="auto" w:fill="D3E2FF" w:themeFill="accent4" w:themeFillTint="1A"/>
            <w:noWrap/>
            <w:hideMark/>
          </w:tcPr>
          <w:p w14:paraId="14E18680"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Improving local air quality</w:t>
            </w:r>
          </w:p>
        </w:tc>
        <w:tc>
          <w:tcPr>
            <w:tcW w:w="8505" w:type="dxa"/>
            <w:shd w:val="clear" w:color="auto" w:fill="D3E2FF" w:themeFill="accent4" w:themeFillTint="1A"/>
          </w:tcPr>
          <w:p w14:paraId="40CFF8A7" w14:textId="77777777" w:rsidR="00131DAB" w:rsidRPr="00A62F38" w:rsidRDefault="00131DAB" w:rsidP="004A3B93">
            <w:pPr>
              <w:spacing w:before="0" w:after="0" w:line="240" w:lineRule="auto"/>
              <w:rPr>
                <w:rFonts w:ascii="Calibri" w:eastAsia="Times New Roman" w:hAnsi="Calibri" w:cs="Calibri"/>
                <w:color w:val="000000"/>
                <w:sz w:val="22"/>
                <w:szCs w:val="22"/>
              </w:rPr>
            </w:pPr>
          </w:p>
        </w:tc>
      </w:tr>
      <w:tr w:rsidR="00131DAB" w:rsidRPr="00A62F38" w14:paraId="0D61A0E8" w14:textId="4AA4DCAC" w:rsidTr="00E376F2">
        <w:trPr>
          <w:trHeight w:val="576"/>
        </w:trPr>
        <w:tc>
          <w:tcPr>
            <w:tcW w:w="1506" w:type="dxa"/>
            <w:noWrap/>
            <w:hideMark/>
          </w:tcPr>
          <w:p w14:paraId="1127503E"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4.1</w:t>
            </w:r>
          </w:p>
        </w:tc>
        <w:tc>
          <w:tcPr>
            <w:tcW w:w="11110" w:type="dxa"/>
            <w:hideMark/>
          </w:tcPr>
          <w:p w14:paraId="2C3E26A7" w14:textId="55146693"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Implement a Low Emissions Zone scheme to reduce harmful emissions from transport and improve air quality.</w:t>
            </w:r>
            <w:r>
              <w:rPr>
                <w:rFonts w:ascii="Calibri" w:eastAsia="Times New Roman" w:hAnsi="Calibri" w:cs="Calibri"/>
                <w:color w:val="000000"/>
                <w:sz w:val="22"/>
                <w:szCs w:val="22"/>
              </w:rPr>
              <w:t>\</w:t>
            </w:r>
          </w:p>
        </w:tc>
        <w:tc>
          <w:tcPr>
            <w:tcW w:w="8505" w:type="dxa"/>
          </w:tcPr>
          <w:p w14:paraId="6FBD7A60" w14:textId="0504BA9D" w:rsidR="00131DAB" w:rsidRPr="00A62F38"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Out</w:t>
            </w:r>
            <w:r w:rsidRPr="00A62F38">
              <w:rPr>
                <w:rFonts w:ascii="Calibri" w:eastAsia="Times New Roman" w:hAnsi="Calibri" w:cs="Calibri"/>
                <w:color w:val="000000"/>
                <w:sz w:val="22"/>
                <w:szCs w:val="22"/>
              </w:rPr>
              <w:t xml:space="preserve"> - City Plan</w:t>
            </w:r>
            <w:r>
              <w:rPr>
                <w:rFonts w:ascii="Calibri" w:eastAsia="Times New Roman" w:hAnsi="Calibri" w:cs="Calibri"/>
                <w:color w:val="000000"/>
                <w:sz w:val="22"/>
                <w:szCs w:val="22"/>
              </w:rPr>
              <w:t xml:space="preserve"> Env 34: Pollution and Air, Water and Soil Quality the integration of Low Emissions Zones are discussed (page 118). Page 6 also states that the implementation of a Low Emissions Zone for the city centre is being consulted upon/progressed. Within the CMP, the Low Emission Zone is discussed under Policy Measure Movement 30 – Managing Traffic Signals (page 40). Here, the policy states that a LEZ will help Edinburgh comply with legal air quality standards and reduce the impact of harmful emissions.</w:t>
            </w:r>
          </w:p>
        </w:tc>
      </w:tr>
      <w:tr w:rsidR="00131DAB" w:rsidRPr="00A62F38" w14:paraId="41C7AD2E" w14:textId="2C813E03" w:rsidTr="00E376F2">
        <w:trPr>
          <w:trHeight w:val="288"/>
        </w:trPr>
        <w:tc>
          <w:tcPr>
            <w:tcW w:w="1506" w:type="dxa"/>
            <w:shd w:val="clear" w:color="auto" w:fill="D3E2FF" w:themeFill="accent4" w:themeFillTint="1A"/>
            <w:noWrap/>
            <w:hideMark/>
          </w:tcPr>
          <w:p w14:paraId="18816F0E"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5</w:t>
            </w:r>
          </w:p>
        </w:tc>
        <w:tc>
          <w:tcPr>
            <w:tcW w:w="11110" w:type="dxa"/>
            <w:shd w:val="clear" w:color="auto" w:fill="D3E2FF" w:themeFill="accent4" w:themeFillTint="1A"/>
            <w:noWrap/>
            <w:hideMark/>
          </w:tcPr>
          <w:p w14:paraId="388E2FAC"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Better management of the city centre</w:t>
            </w:r>
          </w:p>
        </w:tc>
        <w:tc>
          <w:tcPr>
            <w:tcW w:w="8505" w:type="dxa"/>
            <w:shd w:val="clear" w:color="auto" w:fill="D3E2FF" w:themeFill="accent4" w:themeFillTint="1A"/>
          </w:tcPr>
          <w:p w14:paraId="3817EA6C" w14:textId="77777777" w:rsidR="00131DAB" w:rsidRPr="00A62F38" w:rsidRDefault="00131DAB" w:rsidP="004A3B93">
            <w:pPr>
              <w:spacing w:before="0" w:after="0" w:line="240" w:lineRule="auto"/>
              <w:rPr>
                <w:rFonts w:ascii="Calibri" w:eastAsia="Times New Roman" w:hAnsi="Calibri" w:cs="Calibri"/>
                <w:color w:val="000000"/>
                <w:sz w:val="22"/>
                <w:szCs w:val="22"/>
              </w:rPr>
            </w:pPr>
          </w:p>
        </w:tc>
      </w:tr>
      <w:tr w:rsidR="00131DAB" w:rsidRPr="00A62F38" w14:paraId="69DF1E34" w14:textId="0408E31B" w:rsidTr="00E376F2">
        <w:trPr>
          <w:trHeight w:val="651"/>
        </w:trPr>
        <w:tc>
          <w:tcPr>
            <w:tcW w:w="1506" w:type="dxa"/>
            <w:noWrap/>
            <w:hideMark/>
          </w:tcPr>
          <w:p w14:paraId="244B936E"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5.1</w:t>
            </w:r>
          </w:p>
        </w:tc>
        <w:tc>
          <w:tcPr>
            <w:tcW w:w="11110" w:type="dxa"/>
            <w:hideMark/>
          </w:tcPr>
          <w:p w14:paraId="0263B503"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Create a city-centre operation plan to reduce emissions by improving the way goods and service vehicles move around the city, supporting the use of innovative zero emission solutions for ‘last mile’ deliveries.</w:t>
            </w:r>
          </w:p>
        </w:tc>
        <w:tc>
          <w:tcPr>
            <w:tcW w:w="8505" w:type="dxa"/>
          </w:tcPr>
          <w:p w14:paraId="5EE46818" w14:textId="14E7E2DA" w:rsidR="00131DAB" w:rsidRPr="00A62F38"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A62F38" w14:paraId="75119ABF" w14:textId="0468DC93" w:rsidTr="00E376F2">
        <w:trPr>
          <w:trHeight w:val="288"/>
        </w:trPr>
        <w:tc>
          <w:tcPr>
            <w:tcW w:w="1506" w:type="dxa"/>
            <w:shd w:val="clear" w:color="auto" w:fill="D3E2FF" w:themeFill="accent4" w:themeFillTint="1A"/>
            <w:noWrap/>
            <w:hideMark/>
          </w:tcPr>
          <w:p w14:paraId="0365F381"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6</w:t>
            </w:r>
          </w:p>
        </w:tc>
        <w:tc>
          <w:tcPr>
            <w:tcW w:w="11110" w:type="dxa"/>
            <w:shd w:val="clear" w:color="auto" w:fill="D3E2FF" w:themeFill="accent4" w:themeFillTint="1A"/>
            <w:noWrap/>
            <w:hideMark/>
          </w:tcPr>
          <w:p w14:paraId="793B5AA6"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Supporting public sector transition to electric vehicles</w:t>
            </w:r>
          </w:p>
        </w:tc>
        <w:tc>
          <w:tcPr>
            <w:tcW w:w="8505" w:type="dxa"/>
            <w:shd w:val="clear" w:color="auto" w:fill="D3E2FF" w:themeFill="accent4" w:themeFillTint="1A"/>
          </w:tcPr>
          <w:p w14:paraId="7D9683EE" w14:textId="77777777" w:rsidR="00131DAB" w:rsidRPr="00A62F38" w:rsidRDefault="00131DAB" w:rsidP="004A3B93">
            <w:pPr>
              <w:spacing w:before="0" w:after="0" w:line="240" w:lineRule="auto"/>
              <w:rPr>
                <w:rFonts w:ascii="Calibri" w:eastAsia="Times New Roman" w:hAnsi="Calibri" w:cs="Calibri"/>
                <w:color w:val="000000"/>
                <w:sz w:val="22"/>
                <w:szCs w:val="22"/>
              </w:rPr>
            </w:pPr>
          </w:p>
        </w:tc>
      </w:tr>
      <w:tr w:rsidR="00131DAB" w:rsidRPr="00A62F38" w14:paraId="518E7D83" w14:textId="230C18B5" w:rsidTr="00E376F2">
        <w:trPr>
          <w:trHeight w:val="610"/>
        </w:trPr>
        <w:tc>
          <w:tcPr>
            <w:tcW w:w="1506" w:type="dxa"/>
            <w:noWrap/>
            <w:hideMark/>
          </w:tcPr>
          <w:p w14:paraId="3F6A88BF"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6.1</w:t>
            </w:r>
          </w:p>
        </w:tc>
        <w:tc>
          <w:tcPr>
            <w:tcW w:w="11110" w:type="dxa"/>
            <w:hideMark/>
          </w:tcPr>
          <w:p w14:paraId="750CEEDC"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Identify opportunities to align to investment in EV infrastructure for public service and blue light fleet at strategic locations across the city, which also delivers ‘down-time’ availability for citizens and businesses where possible.</w:t>
            </w:r>
          </w:p>
        </w:tc>
        <w:tc>
          <w:tcPr>
            <w:tcW w:w="8505" w:type="dxa"/>
          </w:tcPr>
          <w:p w14:paraId="35D5F33B" w14:textId="7437A559" w:rsidR="00131DAB" w:rsidRPr="00A62F38"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A62F38" w14:paraId="6AAA8669" w14:textId="3C7223F8" w:rsidTr="00E376F2">
        <w:trPr>
          <w:trHeight w:val="288"/>
        </w:trPr>
        <w:tc>
          <w:tcPr>
            <w:tcW w:w="1506" w:type="dxa"/>
            <w:shd w:val="clear" w:color="auto" w:fill="D3E2FF" w:themeFill="accent4" w:themeFillTint="1A"/>
            <w:noWrap/>
            <w:hideMark/>
          </w:tcPr>
          <w:p w14:paraId="31A47D3F"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7</w:t>
            </w:r>
          </w:p>
        </w:tc>
        <w:tc>
          <w:tcPr>
            <w:tcW w:w="11110" w:type="dxa"/>
            <w:shd w:val="clear" w:color="auto" w:fill="D3E2FF" w:themeFill="accent4" w:themeFillTint="1A"/>
            <w:noWrap/>
            <w:hideMark/>
          </w:tcPr>
          <w:p w14:paraId="0E6598FB"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 xml:space="preserve"> Delivering electric vehicle infrastructure</w:t>
            </w:r>
          </w:p>
        </w:tc>
        <w:tc>
          <w:tcPr>
            <w:tcW w:w="8505" w:type="dxa"/>
            <w:shd w:val="clear" w:color="auto" w:fill="D3E2FF" w:themeFill="accent4" w:themeFillTint="1A"/>
          </w:tcPr>
          <w:p w14:paraId="1604CC87" w14:textId="77777777" w:rsidR="00131DAB" w:rsidRPr="00A62F38" w:rsidRDefault="00131DAB" w:rsidP="004A3B93">
            <w:pPr>
              <w:spacing w:before="0" w:after="0" w:line="240" w:lineRule="auto"/>
              <w:rPr>
                <w:rFonts w:ascii="Calibri" w:eastAsia="Times New Roman" w:hAnsi="Calibri" w:cs="Calibri"/>
                <w:color w:val="000000"/>
                <w:sz w:val="22"/>
                <w:szCs w:val="22"/>
              </w:rPr>
            </w:pPr>
          </w:p>
        </w:tc>
      </w:tr>
      <w:tr w:rsidR="00131DAB" w:rsidRPr="00A62F38" w14:paraId="4D50A29A" w14:textId="3CAD123E" w:rsidTr="00E376F2">
        <w:trPr>
          <w:trHeight w:val="576"/>
        </w:trPr>
        <w:tc>
          <w:tcPr>
            <w:tcW w:w="1506" w:type="dxa"/>
            <w:noWrap/>
            <w:hideMark/>
          </w:tcPr>
          <w:p w14:paraId="2AF350F3"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7.1</w:t>
            </w:r>
          </w:p>
        </w:tc>
        <w:tc>
          <w:tcPr>
            <w:tcW w:w="11110" w:type="dxa"/>
            <w:hideMark/>
          </w:tcPr>
          <w:p w14:paraId="537535D8"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Develop electricity grid infrastructure and capacity to respond to increased demand from growth in EV use.</w:t>
            </w:r>
          </w:p>
        </w:tc>
        <w:tc>
          <w:tcPr>
            <w:tcW w:w="8505" w:type="dxa"/>
          </w:tcPr>
          <w:p w14:paraId="3BE5B635" w14:textId="06AB3D3F" w:rsidR="00131DAB" w:rsidRPr="00A62F38"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Out</w:t>
            </w:r>
            <w:r w:rsidRPr="00A62F38">
              <w:rPr>
                <w:rFonts w:ascii="Calibri" w:eastAsia="Times New Roman" w:hAnsi="Calibri" w:cs="Calibri"/>
                <w:color w:val="000000"/>
                <w:sz w:val="22"/>
                <w:szCs w:val="22"/>
              </w:rPr>
              <w:t xml:space="preserve"> - City Mobility Plan and City Plan</w:t>
            </w:r>
            <w:r w:rsidRPr="00DB65BA">
              <w:rPr>
                <w:rFonts w:ascii="Calibri" w:hAnsi="Calibri" w:cs="Calibri"/>
                <w:sz w:val="22"/>
                <w:szCs w:val="22"/>
              </w:rPr>
              <w:t xml:space="preserve"> Developments to the electricity grid infrastructure is not included, however, there are measures in the CMP and City Plan that seek to develop the infrastructures capacity to respond to increased demand from the growth in EV use. In the CMP, this includes the integration of more EV charging points/hubs (page 36 and Movement 19: Mobility Hubs). This is likewise reflected in the City Plan (page 130).</w:t>
            </w:r>
          </w:p>
        </w:tc>
      </w:tr>
      <w:tr w:rsidR="00131DAB" w:rsidRPr="00A62F38" w14:paraId="057760C7" w14:textId="11EAA2A3" w:rsidTr="00E376F2">
        <w:trPr>
          <w:trHeight w:val="679"/>
        </w:trPr>
        <w:tc>
          <w:tcPr>
            <w:tcW w:w="1506" w:type="dxa"/>
            <w:noWrap/>
            <w:hideMark/>
          </w:tcPr>
          <w:p w14:paraId="297ABE45"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lastRenderedPageBreak/>
              <w:t>7.2</w:t>
            </w:r>
          </w:p>
        </w:tc>
        <w:tc>
          <w:tcPr>
            <w:tcW w:w="11110" w:type="dxa"/>
            <w:hideMark/>
          </w:tcPr>
          <w:p w14:paraId="64E22C1D"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Develop pilot proposals for blended finance public-use EV charging hubs in locations which align with the City Mobility Plan’s aims of increasing sustainable travel and avoid adding to city-centre congestion.</w:t>
            </w:r>
          </w:p>
        </w:tc>
        <w:tc>
          <w:tcPr>
            <w:tcW w:w="8505" w:type="dxa"/>
          </w:tcPr>
          <w:p w14:paraId="02F8CDC1" w14:textId="2CC957FD" w:rsidR="00131DAB" w:rsidRPr="00A930E9" w:rsidRDefault="00131DAB" w:rsidP="004A3B93">
            <w:pPr>
              <w:spacing w:before="0" w:after="0" w:line="240" w:lineRule="auto"/>
              <w:rPr>
                <w:rFonts w:ascii="Calibri" w:eastAsia="Times New Roman" w:hAnsi="Calibri" w:cs="Calibri"/>
                <w:b/>
                <w:bCs/>
                <w:color w:val="000000"/>
                <w:sz w:val="22"/>
                <w:szCs w:val="22"/>
              </w:rPr>
            </w:pPr>
            <w:r>
              <w:rPr>
                <w:rFonts w:ascii="Calibri" w:eastAsia="Times New Roman" w:hAnsi="Calibri" w:cs="Calibri"/>
                <w:color w:val="000000"/>
                <w:sz w:val="22"/>
                <w:szCs w:val="22"/>
              </w:rPr>
              <w:t>Out</w:t>
            </w:r>
            <w:r w:rsidRPr="00A62F38">
              <w:rPr>
                <w:rFonts w:ascii="Calibri" w:eastAsia="Times New Roman" w:hAnsi="Calibri" w:cs="Calibri"/>
                <w:color w:val="000000"/>
                <w:sz w:val="22"/>
                <w:szCs w:val="22"/>
              </w:rPr>
              <w:t xml:space="preserve"> - City Mobility Plan and City Plan</w:t>
            </w:r>
            <w:r w:rsidRPr="00DB65BA">
              <w:rPr>
                <w:rFonts w:ascii="Calibri" w:hAnsi="Calibri" w:cs="Calibri"/>
                <w:sz w:val="22"/>
                <w:szCs w:val="22"/>
              </w:rPr>
              <w:t xml:space="preserve"> Integration of EV charging hubs are outlined in both CMP and City Plan (as above). The CMP states that these will be provided in areas that helps to tackle the highest levels of in-commuting and congestion (i.e. support more sustainable movement, page 28). The City Plan outlines that charging hubs will be located on sites closely related to public transport corridors and railway stations (in park and ride facilities</w:t>
            </w:r>
            <w:r>
              <w:rPr>
                <w:rFonts w:ascii="Calibri" w:hAnsi="Calibri" w:cs="Calibri"/>
                <w:sz w:val="22"/>
                <w:szCs w:val="22"/>
              </w:rPr>
              <w:t xml:space="preserve"> (</w:t>
            </w:r>
            <w:r w:rsidRPr="00DB65BA">
              <w:rPr>
                <w:rFonts w:ascii="Calibri" w:hAnsi="Calibri" w:cs="Calibri"/>
                <w:sz w:val="22"/>
                <w:szCs w:val="22"/>
              </w:rPr>
              <w:t>page 130).</w:t>
            </w:r>
          </w:p>
        </w:tc>
      </w:tr>
      <w:tr w:rsidR="00131DAB" w:rsidRPr="00A62F38" w14:paraId="4781DF7F" w14:textId="26256838" w:rsidTr="00E376F2">
        <w:trPr>
          <w:trHeight w:val="288"/>
        </w:trPr>
        <w:tc>
          <w:tcPr>
            <w:tcW w:w="1506" w:type="dxa"/>
            <w:shd w:val="clear" w:color="auto" w:fill="D3E2FF" w:themeFill="accent4" w:themeFillTint="1A"/>
            <w:noWrap/>
            <w:hideMark/>
          </w:tcPr>
          <w:p w14:paraId="529F0182"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8</w:t>
            </w:r>
          </w:p>
        </w:tc>
        <w:tc>
          <w:tcPr>
            <w:tcW w:w="11110" w:type="dxa"/>
            <w:shd w:val="clear" w:color="auto" w:fill="D3E2FF" w:themeFill="accent4" w:themeFillTint="1A"/>
            <w:noWrap/>
            <w:hideMark/>
          </w:tcPr>
          <w:p w14:paraId="3909C972"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Engaging with citizens</w:t>
            </w:r>
          </w:p>
        </w:tc>
        <w:tc>
          <w:tcPr>
            <w:tcW w:w="8505" w:type="dxa"/>
            <w:shd w:val="clear" w:color="auto" w:fill="D3E2FF" w:themeFill="accent4" w:themeFillTint="1A"/>
          </w:tcPr>
          <w:p w14:paraId="4BFD1036" w14:textId="77777777" w:rsidR="00131DAB" w:rsidRPr="00A62F38" w:rsidRDefault="00131DAB" w:rsidP="004A3B93">
            <w:pPr>
              <w:spacing w:before="0" w:after="0" w:line="240" w:lineRule="auto"/>
              <w:rPr>
                <w:rFonts w:ascii="Calibri" w:eastAsia="Times New Roman" w:hAnsi="Calibri" w:cs="Calibri"/>
                <w:color w:val="000000"/>
                <w:sz w:val="22"/>
                <w:szCs w:val="22"/>
              </w:rPr>
            </w:pPr>
          </w:p>
        </w:tc>
      </w:tr>
      <w:tr w:rsidR="00131DAB" w:rsidRPr="00A62F38" w14:paraId="5F49D58D" w14:textId="41E10DDA" w:rsidTr="00E376F2">
        <w:trPr>
          <w:trHeight w:val="288"/>
        </w:trPr>
        <w:tc>
          <w:tcPr>
            <w:tcW w:w="1506" w:type="dxa"/>
            <w:noWrap/>
            <w:hideMark/>
          </w:tcPr>
          <w:p w14:paraId="5C67F71B"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8.1</w:t>
            </w:r>
          </w:p>
        </w:tc>
        <w:tc>
          <w:tcPr>
            <w:tcW w:w="11110" w:type="dxa"/>
            <w:noWrap/>
            <w:hideMark/>
          </w:tcPr>
          <w:p w14:paraId="1B7FBD33"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Deliver public awareness raising campaigns on sustainable and active travel</w:t>
            </w:r>
          </w:p>
        </w:tc>
        <w:tc>
          <w:tcPr>
            <w:tcW w:w="8505" w:type="dxa"/>
          </w:tcPr>
          <w:p w14:paraId="1AAAD363" w14:textId="6A7C5F10" w:rsidR="00131DAB" w:rsidRPr="00A62F38"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Out</w:t>
            </w:r>
            <w:r w:rsidRPr="00A62F38">
              <w:rPr>
                <w:rFonts w:ascii="Calibri" w:eastAsia="Times New Roman" w:hAnsi="Calibri" w:cs="Calibri"/>
                <w:color w:val="000000"/>
                <w:sz w:val="22"/>
                <w:szCs w:val="22"/>
              </w:rPr>
              <w:t xml:space="preserve"> - City Mobility Plan</w:t>
            </w:r>
            <w:r>
              <w:rPr>
                <w:rFonts w:ascii="Calibri" w:eastAsia="Times New Roman" w:hAnsi="Calibri" w:cs="Calibri"/>
                <w:color w:val="000000"/>
                <w:sz w:val="22"/>
                <w:szCs w:val="22"/>
              </w:rPr>
              <w:t xml:space="preserve"> Policy Measure People 1: Supporting Behaviour Change encourages changes in behaviour towards the use of sustainable modes of travel through information provision, initiatives, and campaigns (page 16). </w:t>
            </w:r>
            <w:r w:rsidRPr="00A62F38">
              <w:rPr>
                <w:rFonts w:ascii="Calibri" w:eastAsia="Times New Roman" w:hAnsi="Calibri" w:cs="Calibri"/>
                <w:color w:val="000000"/>
                <w:sz w:val="22"/>
                <w:szCs w:val="22"/>
              </w:rPr>
              <w:t xml:space="preserve"> </w:t>
            </w:r>
          </w:p>
        </w:tc>
      </w:tr>
      <w:tr w:rsidR="00131DAB" w:rsidRPr="00A62F38" w14:paraId="79F0934D" w14:textId="4D238DA7" w:rsidTr="00E376F2">
        <w:trPr>
          <w:trHeight w:val="664"/>
        </w:trPr>
        <w:tc>
          <w:tcPr>
            <w:tcW w:w="1506" w:type="dxa"/>
            <w:noWrap/>
            <w:hideMark/>
          </w:tcPr>
          <w:p w14:paraId="2E926C19"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8.2</w:t>
            </w:r>
          </w:p>
        </w:tc>
        <w:tc>
          <w:tcPr>
            <w:tcW w:w="11110" w:type="dxa"/>
            <w:hideMark/>
          </w:tcPr>
          <w:p w14:paraId="4249C7CF"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Engage with citizens and businesses on the potential benefits of introducing a Workplace Parking Levy as part of a range of measures to deliver the City Mobility Plan.</w:t>
            </w:r>
          </w:p>
        </w:tc>
        <w:tc>
          <w:tcPr>
            <w:tcW w:w="8505" w:type="dxa"/>
          </w:tcPr>
          <w:p w14:paraId="0A5A790E" w14:textId="1AB46E1A" w:rsidR="00131DAB" w:rsidRPr="00A62F38"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Out</w:t>
            </w:r>
            <w:r w:rsidRPr="00A62F38">
              <w:rPr>
                <w:rFonts w:ascii="Calibri" w:eastAsia="Times New Roman" w:hAnsi="Calibri" w:cs="Calibri"/>
                <w:color w:val="000000"/>
                <w:sz w:val="22"/>
                <w:szCs w:val="22"/>
              </w:rPr>
              <w:t xml:space="preserve"> - City Mobility Plan </w:t>
            </w:r>
            <w:r>
              <w:rPr>
                <w:rFonts w:ascii="Calibri" w:eastAsia="Times New Roman" w:hAnsi="Calibri" w:cs="Calibri"/>
                <w:color w:val="000000"/>
                <w:sz w:val="22"/>
                <w:szCs w:val="22"/>
              </w:rPr>
              <w:t>Policy Measure Movement 37 – Parking, Waiting, Loading Restriction covers the Workplace Parking Levy (page 44), outlining that this will work as a tool to reduce congestion. Following consultation, a proposal for this will be developed in Edinburgh. This will follow from legislation being passed by the Scottish Government and studies of workplace parking provision.</w:t>
            </w:r>
          </w:p>
        </w:tc>
      </w:tr>
      <w:tr w:rsidR="00131DAB" w:rsidRPr="00A62F38" w14:paraId="1BBBA228" w14:textId="1933ECC4" w:rsidTr="00E376F2">
        <w:trPr>
          <w:trHeight w:val="576"/>
        </w:trPr>
        <w:tc>
          <w:tcPr>
            <w:tcW w:w="1506" w:type="dxa"/>
            <w:noWrap/>
            <w:hideMark/>
          </w:tcPr>
          <w:p w14:paraId="1D4FF0BA"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8.3</w:t>
            </w:r>
          </w:p>
        </w:tc>
        <w:tc>
          <w:tcPr>
            <w:tcW w:w="11110" w:type="dxa"/>
            <w:noWrap/>
            <w:hideMark/>
          </w:tcPr>
          <w:p w14:paraId="1ED2DDDF"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Support the creation of 20- minute neighbourhoods and streets for people</w:t>
            </w:r>
          </w:p>
        </w:tc>
        <w:tc>
          <w:tcPr>
            <w:tcW w:w="8505" w:type="dxa"/>
          </w:tcPr>
          <w:p w14:paraId="578DD472" w14:textId="3FCCE9B8" w:rsidR="00131DAB" w:rsidRPr="00A62F38"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Out</w:t>
            </w:r>
            <w:r w:rsidRPr="00A62F38">
              <w:rPr>
                <w:rFonts w:ascii="Calibri" w:eastAsia="Times New Roman" w:hAnsi="Calibri" w:cs="Calibri"/>
                <w:color w:val="000000"/>
                <w:sz w:val="22"/>
                <w:szCs w:val="22"/>
              </w:rPr>
              <w:t xml:space="preserve"> - </w:t>
            </w:r>
            <w:r>
              <w:rPr>
                <w:rFonts w:ascii="Calibri" w:eastAsia="Times New Roman" w:hAnsi="Calibri" w:cs="Calibri"/>
                <w:color w:val="000000"/>
                <w:sz w:val="22"/>
                <w:szCs w:val="22"/>
              </w:rPr>
              <w:t xml:space="preserve">CMP </w:t>
            </w:r>
            <w:r w:rsidRPr="00DB65BA">
              <w:rPr>
                <w:rFonts w:ascii="Calibri" w:eastAsia="Times New Roman" w:hAnsi="Calibri" w:cs="Calibri"/>
                <w:color w:val="000000"/>
                <w:sz w:val="22"/>
                <w:szCs w:val="22"/>
              </w:rPr>
              <w:t>Section 4: Place aims to create great places which have been designed for people. Within this the CMP advocates several policy measures aimed at creating sustainable places which support the 20-minute neighbourhood concept (page 47). Policy Measure Place 2: 20-Minute Neighbourhoods is covered on page 50.</w:t>
            </w:r>
            <w:r>
              <w:rPr>
                <w:rFonts w:ascii="Calibri" w:eastAsia="Times New Roman" w:hAnsi="Calibri" w:cs="Calibri"/>
                <w:color w:val="000000"/>
                <w:sz w:val="22"/>
                <w:szCs w:val="22"/>
              </w:rPr>
              <w:t xml:space="preserve"> The City </w:t>
            </w:r>
            <w:r w:rsidRPr="00CD3AEC">
              <w:rPr>
                <w:rFonts w:ascii="Calibri" w:eastAsia="Times New Roman" w:hAnsi="Calibri" w:cs="Calibri"/>
                <w:color w:val="000000"/>
                <w:sz w:val="22"/>
                <w:szCs w:val="22"/>
              </w:rPr>
              <w:t xml:space="preserve">plan </w:t>
            </w:r>
            <w:r w:rsidRPr="00CD3AEC">
              <w:rPr>
                <w:rFonts w:ascii="Calibri" w:hAnsi="Calibri" w:cs="Calibri"/>
                <w:sz w:val="22"/>
                <w:szCs w:val="22"/>
              </w:rPr>
              <w:t>aims to ensure that everyone has access to a range of amenities in their area through the promotion of 20-minute neighbourhoods with a range of housing types and other buildings that are adaptable and can meet the changing needs of communities and individuals</w:t>
            </w:r>
            <w:r>
              <w:rPr>
                <w:rFonts w:ascii="Calibri" w:hAnsi="Calibri" w:cs="Calibri"/>
                <w:sz w:val="22"/>
                <w:szCs w:val="22"/>
              </w:rPr>
              <w:t xml:space="preserve"> (page 15). The 20-minute neighbourhood concept is supported throughout the plan.</w:t>
            </w:r>
          </w:p>
        </w:tc>
      </w:tr>
      <w:tr w:rsidR="00131DAB" w:rsidRPr="00A62F38" w14:paraId="5AC06379" w14:textId="6B2CFA1B" w:rsidTr="00E376F2">
        <w:trPr>
          <w:trHeight w:val="288"/>
        </w:trPr>
        <w:tc>
          <w:tcPr>
            <w:tcW w:w="1506" w:type="dxa"/>
            <w:shd w:val="clear" w:color="auto" w:fill="D3E2FF" w:themeFill="accent4" w:themeFillTint="1A"/>
            <w:noWrap/>
            <w:hideMark/>
          </w:tcPr>
          <w:p w14:paraId="5556B3DC"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9</w:t>
            </w:r>
          </w:p>
        </w:tc>
        <w:tc>
          <w:tcPr>
            <w:tcW w:w="11110" w:type="dxa"/>
            <w:shd w:val="clear" w:color="auto" w:fill="D3E2FF" w:themeFill="accent4" w:themeFillTint="1A"/>
            <w:noWrap/>
            <w:hideMark/>
          </w:tcPr>
          <w:p w14:paraId="7A3EEABE"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Reducing emissions from flying</w:t>
            </w:r>
          </w:p>
        </w:tc>
        <w:tc>
          <w:tcPr>
            <w:tcW w:w="8505" w:type="dxa"/>
            <w:shd w:val="clear" w:color="auto" w:fill="D3E2FF" w:themeFill="accent4" w:themeFillTint="1A"/>
          </w:tcPr>
          <w:p w14:paraId="066FFB81" w14:textId="77777777" w:rsidR="00131DAB" w:rsidRPr="00A62F38" w:rsidRDefault="00131DAB" w:rsidP="004A3B93">
            <w:pPr>
              <w:spacing w:before="0" w:after="0" w:line="240" w:lineRule="auto"/>
              <w:rPr>
                <w:rFonts w:ascii="Calibri" w:eastAsia="Times New Roman" w:hAnsi="Calibri" w:cs="Calibri"/>
                <w:color w:val="000000"/>
                <w:sz w:val="22"/>
                <w:szCs w:val="22"/>
              </w:rPr>
            </w:pPr>
          </w:p>
        </w:tc>
      </w:tr>
      <w:tr w:rsidR="00131DAB" w:rsidRPr="00A62F38" w14:paraId="6EBB2F7B" w14:textId="5523164A" w:rsidTr="00E376F2">
        <w:trPr>
          <w:trHeight w:val="288"/>
        </w:trPr>
        <w:tc>
          <w:tcPr>
            <w:tcW w:w="1506" w:type="dxa"/>
            <w:noWrap/>
            <w:hideMark/>
          </w:tcPr>
          <w:p w14:paraId="21B4FAE4"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9.1</w:t>
            </w:r>
          </w:p>
        </w:tc>
        <w:tc>
          <w:tcPr>
            <w:tcW w:w="11110" w:type="dxa"/>
            <w:noWrap/>
            <w:hideMark/>
          </w:tcPr>
          <w:p w14:paraId="3709BFD1"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Encourage partner organisations to sign up to the Edinburgh Climate Compact</w:t>
            </w:r>
          </w:p>
        </w:tc>
        <w:tc>
          <w:tcPr>
            <w:tcW w:w="8505" w:type="dxa"/>
          </w:tcPr>
          <w:p w14:paraId="1F25B1A1" w14:textId="48B3AA13" w:rsidR="00131DAB" w:rsidRPr="00A62F38"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A62F38" w14:paraId="1F9869BA" w14:textId="2BC90F6C" w:rsidTr="00E376F2">
        <w:trPr>
          <w:trHeight w:val="576"/>
        </w:trPr>
        <w:tc>
          <w:tcPr>
            <w:tcW w:w="1506" w:type="dxa"/>
            <w:noWrap/>
            <w:hideMark/>
          </w:tcPr>
          <w:p w14:paraId="1E197719"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9.2</w:t>
            </w:r>
          </w:p>
        </w:tc>
        <w:tc>
          <w:tcPr>
            <w:tcW w:w="11110" w:type="dxa"/>
            <w:hideMark/>
          </w:tcPr>
          <w:p w14:paraId="51FAC5D5"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Work with citizens and city partners to support staff and residents to make more sustainable travel choices in their professional and personal lives.</w:t>
            </w:r>
          </w:p>
        </w:tc>
        <w:tc>
          <w:tcPr>
            <w:tcW w:w="8505" w:type="dxa"/>
          </w:tcPr>
          <w:p w14:paraId="171A9F71" w14:textId="55487E45" w:rsidR="00131DAB" w:rsidRPr="00A62F38"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A62F38" w14:paraId="3FE05D41" w14:textId="42EDB896" w:rsidTr="00E376F2">
        <w:trPr>
          <w:trHeight w:val="567"/>
        </w:trPr>
        <w:tc>
          <w:tcPr>
            <w:tcW w:w="1506" w:type="dxa"/>
            <w:noWrap/>
            <w:hideMark/>
          </w:tcPr>
          <w:p w14:paraId="351CD917"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9.3</w:t>
            </w:r>
          </w:p>
        </w:tc>
        <w:tc>
          <w:tcPr>
            <w:tcW w:w="11110" w:type="dxa"/>
            <w:hideMark/>
          </w:tcPr>
          <w:p w14:paraId="2EC11D00"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Call on the UK Government, the aviation sector and other stakeholders, to develop a national plan for managing aviation emissions that is fully in line with the Paris Agreement</w:t>
            </w:r>
          </w:p>
        </w:tc>
        <w:tc>
          <w:tcPr>
            <w:tcW w:w="8505" w:type="dxa"/>
          </w:tcPr>
          <w:p w14:paraId="15AC43D0" w14:textId="62A9BD10" w:rsidR="00131DAB" w:rsidRPr="00A62F38"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A62F38" w14:paraId="514B1FF2" w14:textId="0C461AA6" w:rsidTr="00E376F2">
        <w:trPr>
          <w:trHeight w:val="288"/>
        </w:trPr>
        <w:tc>
          <w:tcPr>
            <w:tcW w:w="1506" w:type="dxa"/>
            <w:shd w:val="clear" w:color="auto" w:fill="D3E2FF" w:themeFill="accent4" w:themeFillTint="1A"/>
            <w:noWrap/>
            <w:hideMark/>
          </w:tcPr>
          <w:p w14:paraId="789E408D"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10</w:t>
            </w:r>
          </w:p>
        </w:tc>
        <w:tc>
          <w:tcPr>
            <w:tcW w:w="11110" w:type="dxa"/>
            <w:shd w:val="clear" w:color="auto" w:fill="D3E2FF" w:themeFill="accent4" w:themeFillTint="1A"/>
            <w:noWrap/>
            <w:hideMark/>
          </w:tcPr>
          <w:p w14:paraId="6A1F63F8"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Developing sustainable national public transport infrastructure</w:t>
            </w:r>
          </w:p>
        </w:tc>
        <w:tc>
          <w:tcPr>
            <w:tcW w:w="8505" w:type="dxa"/>
            <w:shd w:val="clear" w:color="auto" w:fill="D3E2FF" w:themeFill="accent4" w:themeFillTint="1A"/>
          </w:tcPr>
          <w:p w14:paraId="3A67B078" w14:textId="77777777" w:rsidR="00131DAB" w:rsidRPr="00A62F38" w:rsidRDefault="00131DAB" w:rsidP="004A3B93">
            <w:pPr>
              <w:spacing w:before="0" w:after="0" w:line="240" w:lineRule="auto"/>
              <w:rPr>
                <w:rFonts w:ascii="Calibri" w:eastAsia="Times New Roman" w:hAnsi="Calibri" w:cs="Calibri"/>
                <w:color w:val="000000"/>
                <w:sz w:val="22"/>
                <w:szCs w:val="22"/>
              </w:rPr>
            </w:pPr>
          </w:p>
        </w:tc>
      </w:tr>
      <w:tr w:rsidR="00131DAB" w:rsidRPr="00A62F38" w14:paraId="3140ED1B" w14:textId="54950A33" w:rsidTr="00E376F2">
        <w:trPr>
          <w:trHeight w:val="576"/>
        </w:trPr>
        <w:tc>
          <w:tcPr>
            <w:tcW w:w="1506" w:type="dxa"/>
            <w:noWrap/>
            <w:hideMark/>
          </w:tcPr>
          <w:p w14:paraId="4A15749C"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10.1</w:t>
            </w:r>
          </w:p>
        </w:tc>
        <w:tc>
          <w:tcPr>
            <w:tcW w:w="11110" w:type="dxa"/>
            <w:hideMark/>
          </w:tcPr>
          <w:p w14:paraId="34275B84"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Call on the Scottish Government to work with the UK Government to ensure the national public transport infrastructure supports sustainable travel</w:t>
            </w:r>
          </w:p>
        </w:tc>
        <w:tc>
          <w:tcPr>
            <w:tcW w:w="8505" w:type="dxa"/>
          </w:tcPr>
          <w:p w14:paraId="056A9FC4" w14:textId="7DB2C205" w:rsidR="00131DAB" w:rsidRPr="00A62F38"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A62F38" w14:paraId="07FE66A2" w14:textId="65A1710F" w:rsidTr="00E376F2">
        <w:trPr>
          <w:trHeight w:val="288"/>
        </w:trPr>
        <w:tc>
          <w:tcPr>
            <w:tcW w:w="1506" w:type="dxa"/>
            <w:shd w:val="clear" w:color="auto" w:fill="D3E2FF" w:themeFill="accent4" w:themeFillTint="1A"/>
            <w:noWrap/>
            <w:hideMark/>
          </w:tcPr>
          <w:p w14:paraId="4962563A"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11</w:t>
            </w:r>
          </w:p>
        </w:tc>
        <w:tc>
          <w:tcPr>
            <w:tcW w:w="11110" w:type="dxa"/>
            <w:shd w:val="clear" w:color="auto" w:fill="D3E2FF" w:themeFill="accent4" w:themeFillTint="1A"/>
            <w:noWrap/>
            <w:hideMark/>
          </w:tcPr>
          <w:p w14:paraId="5C92D4E6"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Streamlining processes to accelerate change</w:t>
            </w:r>
          </w:p>
        </w:tc>
        <w:tc>
          <w:tcPr>
            <w:tcW w:w="8505" w:type="dxa"/>
            <w:shd w:val="clear" w:color="auto" w:fill="D3E2FF" w:themeFill="accent4" w:themeFillTint="1A"/>
          </w:tcPr>
          <w:p w14:paraId="4B02A434" w14:textId="77777777" w:rsidR="00131DAB" w:rsidRPr="00A62F38" w:rsidRDefault="00131DAB" w:rsidP="004A3B93">
            <w:pPr>
              <w:spacing w:before="0" w:after="0" w:line="240" w:lineRule="auto"/>
              <w:rPr>
                <w:rFonts w:ascii="Calibri" w:eastAsia="Times New Roman" w:hAnsi="Calibri" w:cs="Calibri"/>
                <w:color w:val="000000"/>
                <w:sz w:val="22"/>
                <w:szCs w:val="22"/>
              </w:rPr>
            </w:pPr>
          </w:p>
        </w:tc>
      </w:tr>
      <w:tr w:rsidR="00131DAB" w:rsidRPr="00A62F38" w14:paraId="46F52806" w14:textId="78F730DC" w:rsidTr="00E376F2">
        <w:trPr>
          <w:trHeight w:val="356"/>
        </w:trPr>
        <w:tc>
          <w:tcPr>
            <w:tcW w:w="1506" w:type="dxa"/>
            <w:noWrap/>
            <w:hideMark/>
          </w:tcPr>
          <w:p w14:paraId="45B3F79E"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11.1</w:t>
            </w:r>
          </w:p>
        </w:tc>
        <w:tc>
          <w:tcPr>
            <w:tcW w:w="11110" w:type="dxa"/>
            <w:hideMark/>
          </w:tcPr>
          <w:p w14:paraId="242F4D07"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Call on the Scottish Government to remove barriers to rapid action on local transport infrastructure</w:t>
            </w:r>
          </w:p>
        </w:tc>
        <w:tc>
          <w:tcPr>
            <w:tcW w:w="8505" w:type="dxa"/>
          </w:tcPr>
          <w:p w14:paraId="5C4F4852" w14:textId="5E972C39" w:rsidR="00131DAB" w:rsidRPr="00A62F38"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A62F38" w14:paraId="5B9F2671" w14:textId="17A053C9" w:rsidTr="00E376F2">
        <w:trPr>
          <w:trHeight w:val="288"/>
        </w:trPr>
        <w:tc>
          <w:tcPr>
            <w:tcW w:w="1506" w:type="dxa"/>
            <w:noWrap/>
            <w:hideMark/>
          </w:tcPr>
          <w:p w14:paraId="460D4BFD"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11.2</w:t>
            </w:r>
          </w:p>
        </w:tc>
        <w:tc>
          <w:tcPr>
            <w:tcW w:w="11110" w:type="dxa"/>
            <w:hideMark/>
          </w:tcPr>
          <w:p w14:paraId="072912A3" w14:textId="77777777" w:rsidR="00131DAB" w:rsidRPr="00A62F38" w:rsidRDefault="00131DAB" w:rsidP="004A3B93">
            <w:pPr>
              <w:spacing w:before="0" w:after="0" w:line="240" w:lineRule="auto"/>
              <w:rPr>
                <w:rFonts w:ascii="Calibri" w:eastAsia="Times New Roman" w:hAnsi="Calibri" w:cs="Calibri"/>
                <w:color w:val="000000"/>
                <w:sz w:val="22"/>
                <w:szCs w:val="22"/>
              </w:rPr>
            </w:pPr>
            <w:r w:rsidRPr="00A62F38">
              <w:rPr>
                <w:rFonts w:ascii="Calibri" w:eastAsia="Times New Roman" w:hAnsi="Calibri" w:cs="Calibri"/>
                <w:color w:val="000000"/>
                <w:sz w:val="22"/>
                <w:szCs w:val="22"/>
              </w:rPr>
              <w:t>Call on Scottish Government to accelerate integrated ticketing for public transport.</w:t>
            </w:r>
          </w:p>
        </w:tc>
        <w:tc>
          <w:tcPr>
            <w:tcW w:w="8505" w:type="dxa"/>
          </w:tcPr>
          <w:p w14:paraId="613ED882" w14:textId="60A0225B" w:rsidR="00131DAB" w:rsidRPr="00A62F38"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Out</w:t>
            </w:r>
            <w:r w:rsidRPr="00A62F38">
              <w:rPr>
                <w:rFonts w:ascii="Calibri" w:eastAsia="Times New Roman" w:hAnsi="Calibri" w:cs="Calibri"/>
                <w:color w:val="000000"/>
                <w:sz w:val="22"/>
                <w:szCs w:val="22"/>
              </w:rPr>
              <w:t xml:space="preserve"> - City Mobility Plan</w:t>
            </w:r>
            <w:r w:rsidRPr="00DB65BA">
              <w:rPr>
                <w:rFonts w:ascii="Calibri" w:hAnsi="Calibri" w:cs="Calibri"/>
                <w:sz w:val="22"/>
                <w:szCs w:val="22"/>
              </w:rPr>
              <w:t xml:space="preserve"> Page 26 of the C</w:t>
            </w:r>
            <w:r>
              <w:rPr>
                <w:rFonts w:ascii="Calibri" w:hAnsi="Calibri" w:cs="Calibri"/>
                <w:sz w:val="22"/>
                <w:szCs w:val="22"/>
              </w:rPr>
              <w:t xml:space="preserve">ity Mobility Plan </w:t>
            </w:r>
            <w:r w:rsidRPr="00DB65BA">
              <w:rPr>
                <w:rFonts w:ascii="Calibri" w:hAnsi="Calibri" w:cs="Calibri"/>
                <w:sz w:val="22"/>
                <w:szCs w:val="22"/>
              </w:rPr>
              <w:t>under the ‘Ticketing’ section states that, ‘We are committed to working with all public transport operators, regional partners and the Scottish Government to achieve this ambition’ (the ambition being the implementation of integrated, flexible ticketing).</w:t>
            </w:r>
          </w:p>
        </w:tc>
      </w:tr>
    </w:tbl>
    <w:p w14:paraId="100B51D9" w14:textId="5BB73BD6" w:rsidR="00B828C5" w:rsidRDefault="00B828C5" w:rsidP="00820CFF">
      <w:pPr>
        <w:pStyle w:val="Caption"/>
      </w:pPr>
    </w:p>
    <w:p w14:paraId="1F7F7050" w14:textId="77777777" w:rsidR="00B828C5" w:rsidRDefault="00B828C5">
      <w:pPr>
        <w:rPr>
          <w:b/>
          <w:iCs/>
          <w:color w:val="333333" w:themeColor="text2"/>
          <w:szCs w:val="18"/>
        </w:rPr>
      </w:pPr>
      <w:r>
        <w:br w:type="page"/>
      </w:r>
    </w:p>
    <w:p w14:paraId="2198B870" w14:textId="35DA9702" w:rsidR="00B9775A" w:rsidRDefault="00B9775A" w:rsidP="00B9775A">
      <w:pPr>
        <w:pStyle w:val="Figurecaption0"/>
        <w:ind w:left="0"/>
      </w:pPr>
      <w:r>
        <w:lastRenderedPageBreak/>
        <w:t>Table D.</w:t>
      </w:r>
      <w:r w:rsidR="00E376F2">
        <w:fldChar w:fldCharType="begin"/>
      </w:r>
      <w:r w:rsidR="00E376F2">
        <w:instrText xml:space="preserve"> SEQ Table \* ARABIC </w:instrText>
      </w:r>
      <w:r w:rsidR="00E376F2">
        <w:fldChar w:fldCharType="separate"/>
      </w:r>
      <w:r>
        <w:rPr>
          <w:noProof/>
        </w:rPr>
        <w:t>4</w:t>
      </w:r>
      <w:r w:rsidR="00E376F2">
        <w:rPr>
          <w:noProof/>
        </w:rPr>
        <w:fldChar w:fldCharType="end"/>
      </w:r>
      <w:r>
        <w:t>: Net Zero Circular Economy Strategic Action Area Sift</w:t>
      </w:r>
    </w:p>
    <w:tbl>
      <w:tblPr>
        <w:tblStyle w:val="JacobsTable1accentprimarythemes"/>
        <w:tblW w:w="21121" w:type="dxa"/>
        <w:tblLook w:val="04A0" w:firstRow="1" w:lastRow="0" w:firstColumn="1" w:lastColumn="0" w:noHBand="0" w:noVBand="1"/>
      </w:tblPr>
      <w:tblGrid>
        <w:gridCol w:w="1753"/>
        <w:gridCol w:w="10863"/>
        <w:gridCol w:w="8505"/>
      </w:tblGrid>
      <w:tr w:rsidR="00131DAB" w14:paraId="1E09B78A" w14:textId="3B9B4841" w:rsidTr="00E376F2">
        <w:trPr>
          <w:cnfStyle w:val="100000000000" w:firstRow="1" w:lastRow="0" w:firstColumn="0" w:lastColumn="0" w:oddVBand="0" w:evenVBand="0" w:oddHBand="0" w:evenHBand="0" w:firstRowFirstColumn="0" w:firstRowLastColumn="0" w:lastRowFirstColumn="0" w:lastRowLastColumn="0"/>
          <w:trHeight w:val="254"/>
        </w:trPr>
        <w:tc>
          <w:tcPr>
            <w:tcW w:w="1753" w:type="dxa"/>
          </w:tcPr>
          <w:p w14:paraId="7AE86E89" w14:textId="77777777" w:rsidR="00131DAB" w:rsidRDefault="00131DAB" w:rsidP="00BF7028">
            <w:pPr>
              <w:pStyle w:val="BodyText"/>
              <w:spacing w:before="0" w:after="0"/>
            </w:pPr>
            <w:r>
              <w:t>Number</w:t>
            </w:r>
          </w:p>
        </w:tc>
        <w:tc>
          <w:tcPr>
            <w:tcW w:w="10863" w:type="dxa"/>
          </w:tcPr>
          <w:p w14:paraId="41E57368" w14:textId="77777777" w:rsidR="00131DAB" w:rsidRDefault="00131DAB" w:rsidP="00BF7028">
            <w:pPr>
              <w:pStyle w:val="BodyText"/>
              <w:spacing w:before="0" w:after="0"/>
            </w:pPr>
            <w:r>
              <w:t xml:space="preserve">Strategic Action </w:t>
            </w:r>
          </w:p>
        </w:tc>
        <w:tc>
          <w:tcPr>
            <w:tcW w:w="8505" w:type="dxa"/>
          </w:tcPr>
          <w:p w14:paraId="1A893D84" w14:textId="77777777" w:rsidR="00131DAB" w:rsidRDefault="00131DAB" w:rsidP="00BF7028">
            <w:pPr>
              <w:pStyle w:val="BodyText"/>
              <w:spacing w:before="0" w:after="0"/>
            </w:pPr>
            <w:r>
              <w:t>Sifted in/out</w:t>
            </w:r>
          </w:p>
        </w:tc>
      </w:tr>
      <w:tr w:rsidR="00131DAB" w:rsidRPr="009C4153" w14:paraId="36525599" w14:textId="76ED2A02" w:rsidTr="00E376F2">
        <w:trPr>
          <w:trHeight w:val="262"/>
        </w:trPr>
        <w:tc>
          <w:tcPr>
            <w:tcW w:w="1753" w:type="dxa"/>
            <w:shd w:val="clear" w:color="auto" w:fill="D3E2FF" w:themeFill="accent4" w:themeFillTint="1A"/>
            <w:noWrap/>
            <w:hideMark/>
          </w:tcPr>
          <w:p w14:paraId="75D2E0A7"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1</w:t>
            </w:r>
          </w:p>
        </w:tc>
        <w:tc>
          <w:tcPr>
            <w:tcW w:w="10863" w:type="dxa"/>
            <w:shd w:val="clear" w:color="auto" w:fill="D3E2FF" w:themeFill="accent4" w:themeFillTint="1A"/>
            <w:hideMark/>
          </w:tcPr>
          <w:p w14:paraId="3601575C"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Securing investment to transition to a net zero economy</w:t>
            </w:r>
          </w:p>
        </w:tc>
        <w:tc>
          <w:tcPr>
            <w:tcW w:w="8505" w:type="dxa"/>
            <w:shd w:val="clear" w:color="auto" w:fill="D3E2FF" w:themeFill="accent4" w:themeFillTint="1A"/>
          </w:tcPr>
          <w:p w14:paraId="6C814574" w14:textId="77777777" w:rsidR="00131DAB" w:rsidRPr="009C4153" w:rsidRDefault="00131DAB" w:rsidP="00BF7028">
            <w:pPr>
              <w:spacing w:before="0" w:after="0" w:line="240" w:lineRule="auto"/>
              <w:rPr>
                <w:rFonts w:ascii="Calibri" w:eastAsia="Times New Roman" w:hAnsi="Calibri" w:cs="Calibri"/>
                <w:color w:val="000000"/>
                <w:sz w:val="22"/>
                <w:szCs w:val="22"/>
              </w:rPr>
            </w:pPr>
          </w:p>
        </w:tc>
      </w:tr>
      <w:tr w:rsidR="00131DAB" w:rsidRPr="009C4153" w14:paraId="3C378475" w14:textId="32CD9CF1" w:rsidTr="00E376F2">
        <w:trPr>
          <w:trHeight w:val="623"/>
        </w:trPr>
        <w:tc>
          <w:tcPr>
            <w:tcW w:w="1753" w:type="dxa"/>
            <w:noWrap/>
            <w:hideMark/>
          </w:tcPr>
          <w:p w14:paraId="0FAA9C23"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1.1</w:t>
            </w:r>
          </w:p>
        </w:tc>
        <w:tc>
          <w:tcPr>
            <w:tcW w:w="10863" w:type="dxa"/>
            <w:hideMark/>
          </w:tcPr>
          <w:p w14:paraId="1F349E1E"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Develop a mechanism for connecting those looking to invest in a net zero city, with the businesses and organisations looking to drive the changes that support speed and scale of net zero action.</w:t>
            </w:r>
          </w:p>
        </w:tc>
        <w:tc>
          <w:tcPr>
            <w:tcW w:w="8505" w:type="dxa"/>
          </w:tcPr>
          <w:p w14:paraId="40A2AF9A" w14:textId="77777777" w:rsidR="00131DAB" w:rsidRPr="009C4153" w:rsidRDefault="00131DAB" w:rsidP="00BF7028">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9C4153" w14:paraId="38DE8AE1" w14:textId="518D4322" w:rsidTr="00E376F2">
        <w:trPr>
          <w:trHeight w:val="571"/>
        </w:trPr>
        <w:tc>
          <w:tcPr>
            <w:tcW w:w="1753" w:type="dxa"/>
            <w:noWrap/>
            <w:hideMark/>
          </w:tcPr>
          <w:p w14:paraId="38E14A5B"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1.2</w:t>
            </w:r>
          </w:p>
        </w:tc>
        <w:tc>
          <w:tcPr>
            <w:tcW w:w="10863" w:type="dxa"/>
            <w:hideMark/>
          </w:tcPr>
          <w:p w14:paraId="35EE5455"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Deliver implementation plans for the Regional Prosperity Framework that drive investment which supports inclusive growth and transition to a net zero economy.</w:t>
            </w:r>
          </w:p>
        </w:tc>
        <w:tc>
          <w:tcPr>
            <w:tcW w:w="8505" w:type="dxa"/>
          </w:tcPr>
          <w:p w14:paraId="13262177" w14:textId="77777777" w:rsidR="00131DAB" w:rsidRPr="009C4153" w:rsidRDefault="00131DAB" w:rsidP="00BF7028">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9C4153" w14:paraId="684556ED" w14:textId="69FF8D4E" w:rsidTr="00E376F2">
        <w:trPr>
          <w:trHeight w:val="262"/>
        </w:trPr>
        <w:tc>
          <w:tcPr>
            <w:tcW w:w="1753" w:type="dxa"/>
            <w:shd w:val="clear" w:color="auto" w:fill="D3E2FF" w:themeFill="accent4" w:themeFillTint="1A"/>
            <w:noWrap/>
            <w:hideMark/>
          </w:tcPr>
          <w:p w14:paraId="4C829980"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2</w:t>
            </w:r>
          </w:p>
        </w:tc>
        <w:tc>
          <w:tcPr>
            <w:tcW w:w="10863" w:type="dxa"/>
            <w:shd w:val="clear" w:color="auto" w:fill="D3E2FF" w:themeFill="accent4" w:themeFillTint="1A"/>
            <w:hideMark/>
          </w:tcPr>
          <w:p w14:paraId="4947B371"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Enabling business leadership</w:t>
            </w:r>
          </w:p>
        </w:tc>
        <w:tc>
          <w:tcPr>
            <w:tcW w:w="8505" w:type="dxa"/>
            <w:shd w:val="clear" w:color="auto" w:fill="D3E2FF" w:themeFill="accent4" w:themeFillTint="1A"/>
          </w:tcPr>
          <w:p w14:paraId="5EBBDE20" w14:textId="77777777" w:rsidR="00131DAB" w:rsidRPr="009C4153" w:rsidRDefault="00131DAB" w:rsidP="00BF7028">
            <w:pPr>
              <w:spacing w:before="0" w:after="0" w:line="240" w:lineRule="auto"/>
              <w:rPr>
                <w:rFonts w:ascii="Calibri" w:eastAsia="Times New Roman" w:hAnsi="Calibri" w:cs="Calibri"/>
                <w:color w:val="000000"/>
                <w:sz w:val="22"/>
                <w:szCs w:val="22"/>
              </w:rPr>
            </w:pPr>
          </w:p>
        </w:tc>
      </w:tr>
      <w:tr w:rsidR="00131DAB" w:rsidRPr="009C4153" w14:paraId="6AC4834E" w14:textId="3517C362" w:rsidTr="00E376F2">
        <w:trPr>
          <w:trHeight w:val="285"/>
        </w:trPr>
        <w:tc>
          <w:tcPr>
            <w:tcW w:w="1753" w:type="dxa"/>
            <w:noWrap/>
            <w:hideMark/>
          </w:tcPr>
          <w:p w14:paraId="4724B21E"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2.1</w:t>
            </w:r>
          </w:p>
        </w:tc>
        <w:tc>
          <w:tcPr>
            <w:tcW w:w="10863" w:type="dxa"/>
            <w:hideMark/>
          </w:tcPr>
          <w:p w14:paraId="65D1F194"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Establish a new business-led Forum to provide leadership on a just economic transition to a net zero city</w:t>
            </w:r>
          </w:p>
        </w:tc>
        <w:tc>
          <w:tcPr>
            <w:tcW w:w="8505" w:type="dxa"/>
          </w:tcPr>
          <w:p w14:paraId="422D9BF3" w14:textId="77777777" w:rsidR="00131DAB" w:rsidRPr="009C4153" w:rsidRDefault="00131DAB" w:rsidP="00BF7028">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9C4153" w14:paraId="1C76633A" w14:textId="40F70D87" w:rsidTr="00E376F2">
        <w:trPr>
          <w:trHeight w:val="262"/>
        </w:trPr>
        <w:tc>
          <w:tcPr>
            <w:tcW w:w="1753" w:type="dxa"/>
            <w:noWrap/>
            <w:hideMark/>
          </w:tcPr>
          <w:p w14:paraId="0FEE32DC"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2.2</w:t>
            </w:r>
          </w:p>
        </w:tc>
        <w:tc>
          <w:tcPr>
            <w:tcW w:w="10863" w:type="dxa"/>
            <w:hideMark/>
          </w:tcPr>
          <w:p w14:paraId="4021EE93"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Ensure Edinburgh’s tourism sector leads the way in sustainable urban tourism</w:t>
            </w:r>
          </w:p>
        </w:tc>
        <w:tc>
          <w:tcPr>
            <w:tcW w:w="8505" w:type="dxa"/>
          </w:tcPr>
          <w:p w14:paraId="70CA5045" w14:textId="77777777" w:rsidR="00131DAB" w:rsidRPr="009C4153" w:rsidRDefault="00131DAB" w:rsidP="00BF7028">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9C4153" w14:paraId="210A434F" w14:textId="7695419A" w:rsidTr="00E376F2">
        <w:trPr>
          <w:trHeight w:val="262"/>
        </w:trPr>
        <w:tc>
          <w:tcPr>
            <w:tcW w:w="1753" w:type="dxa"/>
            <w:shd w:val="clear" w:color="auto" w:fill="D3E2FF" w:themeFill="accent4" w:themeFillTint="1A"/>
            <w:noWrap/>
            <w:hideMark/>
          </w:tcPr>
          <w:p w14:paraId="04C95ACD"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3</w:t>
            </w:r>
          </w:p>
        </w:tc>
        <w:tc>
          <w:tcPr>
            <w:tcW w:w="10863" w:type="dxa"/>
            <w:shd w:val="clear" w:color="auto" w:fill="D3E2FF" w:themeFill="accent4" w:themeFillTint="1A"/>
            <w:hideMark/>
          </w:tcPr>
          <w:p w14:paraId="3BAD1CD3"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Delivering the Edinburgh Climate Compact</w:t>
            </w:r>
          </w:p>
        </w:tc>
        <w:tc>
          <w:tcPr>
            <w:tcW w:w="8505" w:type="dxa"/>
            <w:shd w:val="clear" w:color="auto" w:fill="D3E2FF" w:themeFill="accent4" w:themeFillTint="1A"/>
          </w:tcPr>
          <w:p w14:paraId="7B37A6E3" w14:textId="77777777" w:rsidR="00131DAB" w:rsidRPr="009C4153" w:rsidRDefault="00131DAB" w:rsidP="00BF7028">
            <w:pPr>
              <w:spacing w:before="0" w:after="0" w:line="240" w:lineRule="auto"/>
              <w:rPr>
                <w:rFonts w:ascii="Calibri" w:eastAsia="Times New Roman" w:hAnsi="Calibri" w:cs="Calibri"/>
                <w:color w:val="000000"/>
                <w:sz w:val="22"/>
                <w:szCs w:val="22"/>
              </w:rPr>
            </w:pPr>
          </w:p>
        </w:tc>
      </w:tr>
      <w:tr w:rsidR="00131DAB" w:rsidRPr="009C4153" w14:paraId="2BB0C311" w14:textId="1B19AA29" w:rsidTr="00E376F2">
        <w:trPr>
          <w:trHeight w:val="525"/>
        </w:trPr>
        <w:tc>
          <w:tcPr>
            <w:tcW w:w="1753" w:type="dxa"/>
            <w:noWrap/>
            <w:hideMark/>
          </w:tcPr>
          <w:p w14:paraId="21C4F675"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3.1</w:t>
            </w:r>
          </w:p>
        </w:tc>
        <w:tc>
          <w:tcPr>
            <w:tcW w:w="10863" w:type="dxa"/>
            <w:hideMark/>
          </w:tcPr>
          <w:p w14:paraId="1C2FA84B"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Support and encourage city businesses to sign up to the Edinburgh Climate Compact and commit to reduce their emissions</w:t>
            </w:r>
          </w:p>
        </w:tc>
        <w:tc>
          <w:tcPr>
            <w:tcW w:w="8505" w:type="dxa"/>
          </w:tcPr>
          <w:p w14:paraId="6B580B27" w14:textId="77777777" w:rsidR="00131DAB" w:rsidRPr="009C4153" w:rsidRDefault="00131DAB" w:rsidP="00BF7028">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9C4153" w14:paraId="71775F42" w14:textId="4F32C316" w:rsidTr="00E376F2">
        <w:trPr>
          <w:trHeight w:val="262"/>
        </w:trPr>
        <w:tc>
          <w:tcPr>
            <w:tcW w:w="1753" w:type="dxa"/>
            <w:shd w:val="clear" w:color="auto" w:fill="D3E2FF" w:themeFill="accent4" w:themeFillTint="1A"/>
            <w:noWrap/>
            <w:hideMark/>
          </w:tcPr>
          <w:p w14:paraId="37382C3B"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4</w:t>
            </w:r>
          </w:p>
        </w:tc>
        <w:tc>
          <w:tcPr>
            <w:tcW w:w="10863" w:type="dxa"/>
            <w:shd w:val="clear" w:color="auto" w:fill="D3E2FF" w:themeFill="accent4" w:themeFillTint="1A"/>
            <w:hideMark/>
          </w:tcPr>
          <w:p w14:paraId="0105B119"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Exploring a green innovation challenge finance scheme</w:t>
            </w:r>
          </w:p>
        </w:tc>
        <w:tc>
          <w:tcPr>
            <w:tcW w:w="8505" w:type="dxa"/>
            <w:shd w:val="clear" w:color="auto" w:fill="D3E2FF" w:themeFill="accent4" w:themeFillTint="1A"/>
          </w:tcPr>
          <w:p w14:paraId="5267C181" w14:textId="77777777" w:rsidR="00131DAB" w:rsidRPr="009C4153" w:rsidRDefault="00131DAB" w:rsidP="00BF7028">
            <w:pPr>
              <w:spacing w:before="0" w:after="0" w:line="240" w:lineRule="auto"/>
              <w:rPr>
                <w:rFonts w:ascii="Calibri" w:eastAsia="Times New Roman" w:hAnsi="Calibri" w:cs="Calibri"/>
                <w:color w:val="000000"/>
                <w:sz w:val="22"/>
                <w:szCs w:val="22"/>
              </w:rPr>
            </w:pPr>
          </w:p>
        </w:tc>
      </w:tr>
      <w:tr w:rsidR="00131DAB" w:rsidRPr="009C4153" w14:paraId="2D460B22" w14:textId="7A4EF513" w:rsidTr="00E376F2">
        <w:trPr>
          <w:trHeight w:val="565"/>
        </w:trPr>
        <w:tc>
          <w:tcPr>
            <w:tcW w:w="1753" w:type="dxa"/>
            <w:noWrap/>
            <w:hideMark/>
          </w:tcPr>
          <w:p w14:paraId="0B8E53C7"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4.1</w:t>
            </w:r>
          </w:p>
        </w:tc>
        <w:tc>
          <w:tcPr>
            <w:tcW w:w="10863" w:type="dxa"/>
            <w:hideMark/>
          </w:tcPr>
          <w:p w14:paraId="6E30A2E0"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Explore establishing a finance scheme to complement the Commission Climate Compact, stimulate new lead markets, and support Edinburgh businesses to play a full part in a net zero economy and a green recovery.</w:t>
            </w:r>
          </w:p>
        </w:tc>
        <w:tc>
          <w:tcPr>
            <w:tcW w:w="8505" w:type="dxa"/>
          </w:tcPr>
          <w:p w14:paraId="5AE5644F" w14:textId="77777777" w:rsidR="00131DAB" w:rsidRPr="009C4153" w:rsidRDefault="00131DAB" w:rsidP="00BF7028">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9C4153" w14:paraId="4FDE71B4" w14:textId="67C870E7" w:rsidTr="00E376F2">
        <w:trPr>
          <w:trHeight w:val="262"/>
        </w:trPr>
        <w:tc>
          <w:tcPr>
            <w:tcW w:w="1753" w:type="dxa"/>
            <w:shd w:val="clear" w:color="auto" w:fill="D3E2FF" w:themeFill="accent4" w:themeFillTint="1A"/>
            <w:noWrap/>
            <w:hideMark/>
          </w:tcPr>
          <w:p w14:paraId="7325E86C"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5</w:t>
            </w:r>
          </w:p>
        </w:tc>
        <w:tc>
          <w:tcPr>
            <w:tcW w:w="10863" w:type="dxa"/>
            <w:shd w:val="clear" w:color="auto" w:fill="D3E2FF" w:themeFill="accent4" w:themeFillTint="1A"/>
            <w:hideMark/>
          </w:tcPr>
          <w:p w14:paraId="1052659B"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Business mentoring and support for net zero transition</w:t>
            </w:r>
          </w:p>
        </w:tc>
        <w:tc>
          <w:tcPr>
            <w:tcW w:w="8505" w:type="dxa"/>
            <w:shd w:val="clear" w:color="auto" w:fill="D3E2FF" w:themeFill="accent4" w:themeFillTint="1A"/>
          </w:tcPr>
          <w:p w14:paraId="4410B437" w14:textId="77777777" w:rsidR="00131DAB" w:rsidRPr="009C4153" w:rsidRDefault="00131DAB" w:rsidP="00BF7028">
            <w:pPr>
              <w:spacing w:before="0" w:after="0" w:line="240" w:lineRule="auto"/>
              <w:rPr>
                <w:rFonts w:ascii="Calibri" w:eastAsia="Times New Roman" w:hAnsi="Calibri" w:cs="Calibri"/>
                <w:color w:val="000000"/>
                <w:sz w:val="22"/>
                <w:szCs w:val="22"/>
              </w:rPr>
            </w:pPr>
          </w:p>
        </w:tc>
      </w:tr>
      <w:tr w:rsidR="00131DAB" w:rsidRPr="009C4153" w14:paraId="6D375054" w14:textId="0F1C23E6" w:rsidTr="00E376F2">
        <w:trPr>
          <w:trHeight w:val="497"/>
        </w:trPr>
        <w:tc>
          <w:tcPr>
            <w:tcW w:w="1753" w:type="dxa"/>
            <w:noWrap/>
            <w:hideMark/>
          </w:tcPr>
          <w:p w14:paraId="23BCEA6C"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5.1</w:t>
            </w:r>
          </w:p>
        </w:tc>
        <w:tc>
          <w:tcPr>
            <w:tcW w:w="10863" w:type="dxa"/>
            <w:hideMark/>
          </w:tcPr>
          <w:p w14:paraId="2179F785"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Deliver business mentoring and business support programmes to help employers take practical steps to realign their operations towards becoming net zero.</w:t>
            </w:r>
          </w:p>
        </w:tc>
        <w:tc>
          <w:tcPr>
            <w:tcW w:w="8505" w:type="dxa"/>
          </w:tcPr>
          <w:p w14:paraId="5F196B54" w14:textId="77777777" w:rsidR="00131DAB" w:rsidRPr="009C4153" w:rsidRDefault="00131DAB" w:rsidP="00BF7028">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9C4153" w14:paraId="70BDEE8C" w14:textId="3F32D408" w:rsidTr="00E376F2">
        <w:trPr>
          <w:trHeight w:val="623"/>
        </w:trPr>
        <w:tc>
          <w:tcPr>
            <w:tcW w:w="1753" w:type="dxa"/>
            <w:noWrap/>
            <w:hideMark/>
          </w:tcPr>
          <w:p w14:paraId="7E11860C"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5.2</w:t>
            </w:r>
          </w:p>
        </w:tc>
        <w:tc>
          <w:tcPr>
            <w:tcW w:w="10863" w:type="dxa"/>
            <w:hideMark/>
          </w:tcPr>
          <w:p w14:paraId="01506AFB"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Deliver a new Business for Good programme to provide practical support and training for city businesses to transition to net zero, aligned to and complementing Council and other partner offerings</w:t>
            </w:r>
          </w:p>
        </w:tc>
        <w:tc>
          <w:tcPr>
            <w:tcW w:w="8505" w:type="dxa"/>
          </w:tcPr>
          <w:p w14:paraId="0524D2F7" w14:textId="77777777" w:rsidR="00131DAB" w:rsidRPr="009C4153" w:rsidRDefault="00131DAB" w:rsidP="00BF7028">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9C4153" w14:paraId="4767E02E" w14:textId="546FF877" w:rsidTr="00E376F2">
        <w:trPr>
          <w:trHeight w:val="262"/>
        </w:trPr>
        <w:tc>
          <w:tcPr>
            <w:tcW w:w="1753" w:type="dxa"/>
            <w:shd w:val="clear" w:color="auto" w:fill="D3E2FF" w:themeFill="accent4" w:themeFillTint="1A"/>
            <w:noWrap/>
            <w:hideMark/>
          </w:tcPr>
          <w:p w14:paraId="41756BA0"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6</w:t>
            </w:r>
          </w:p>
        </w:tc>
        <w:tc>
          <w:tcPr>
            <w:tcW w:w="10863" w:type="dxa"/>
            <w:shd w:val="clear" w:color="auto" w:fill="D3E2FF" w:themeFill="accent4" w:themeFillTint="1A"/>
            <w:hideMark/>
          </w:tcPr>
          <w:p w14:paraId="50AEAFF7"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Supporting a more circular economy and reducing waste</w:t>
            </w:r>
          </w:p>
        </w:tc>
        <w:tc>
          <w:tcPr>
            <w:tcW w:w="8505" w:type="dxa"/>
            <w:shd w:val="clear" w:color="auto" w:fill="D3E2FF" w:themeFill="accent4" w:themeFillTint="1A"/>
          </w:tcPr>
          <w:p w14:paraId="58A18493" w14:textId="77777777" w:rsidR="00131DAB" w:rsidRPr="009C4153" w:rsidRDefault="00131DAB" w:rsidP="00BF7028">
            <w:pPr>
              <w:spacing w:before="0" w:after="0" w:line="240" w:lineRule="auto"/>
              <w:rPr>
                <w:rFonts w:ascii="Calibri" w:eastAsia="Times New Roman" w:hAnsi="Calibri" w:cs="Calibri"/>
                <w:color w:val="000000"/>
                <w:sz w:val="22"/>
                <w:szCs w:val="22"/>
              </w:rPr>
            </w:pPr>
          </w:p>
        </w:tc>
      </w:tr>
      <w:tr w:rsidR="00131DAB" w:rsidRPr="009C4153" w14:paraId="11630C10" w14:textId="03AC12A2" w:rsidTr="00E376F2">
        <w:trPr>
          <w:trHeight w:val="623"/>
        </w:trPr>
        <w:tc>
          <w:tcPr>
            <w:tcW w:w="1753" w:type="dxa"/>
            <w:noWrap/>
            <w:hideMark/>
          </w:tcPr>
          <w:p w14:paraId="77102A50"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6.1</w:t>
            </w:r>
          </w:p>
        </w:tc>
        <w:tc>
          <w:tcPr>
            <w:tcW w:w="10863" w:type="dxa"/>
            <w:hideMark/>
          </w:tcPr>
          <w:p w14:paraId="42342497"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Increase participation in the Circular Edinburgh programme which supports businesses to reduce, re-use and recycle as part of embedding circular economy principles into their ways of working</w:t>
            </w:r>
          </w:p>
        </w:tc>
        <w:tc>
          <w:tcPr>
            <w:tcW w:w="8505" w:type="dxa"/>
          </w:tcPr>
          <w:p w14:paraId="656C937D" w14:textId="77777777" w:rsidR="00131DAB" w:rsidRPr="009C4153" w:rsidRDefault="00131DAB" w:rsidP="00BF7028">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9C4153" w14:paraId="443381CE" w14:textId="4F756BC3" w:rsidTr="00E376F2">
        <w:trPr>
          <w:trHeight w:val="363"/>
        </w:trPr>
        <w:tc>
          <w:tcPr>
            <w:tcW w:w="1753" w:type="dxa"/>
            <w:noWrap/>
            <w:hideMark/>
          </w:tcPr>
          <w:p w14:paraId="1FD279A3"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6.2</w:t>
            </w:r>
          </w:p>
        </w:tc>
        <w:tc>
          <w:tcPr>
            <w:tcW w:w="10863" w:type="dxa"/>
            <w:hideMark/>
          </w:tcPr>
          <w:p w14:paraId="6891220D"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Increase the proportion of the City’s food and drink sourced from sustainable local and regional supplies</w:t>
            </w:r>
          </w:p>
        </w:tc>
        <w:tc>
          <w:tcPr>
            <w:tcW w:w="8505" w:type="dxa"/>
          </w:tcPr>
          <w:p w14:paraId="22D443A3" w14:textId="77777777" w:rsidR="00131DAB" w:rsidRPr="009C4153" w:rsidRDefault="00131DAB" w:rsidP="00BF7028">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9C4153" w14:paraId="68F2D004" w14:textId="224B1ADD" w:rsidTr="00E376F2">
        <w:trPr>
          <w:trHeight w:val="525"/>
        </w:trPr>
        <w:tc>
          <w:tcPr>
            <w:tcW w:w="1753" w:type="dxa"/>
            <w:noWrap/>
            <w:hideMark/>
          </w:tcPr>
          <w:p w14:paraId="0707A184"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6.3</w:t>
            </w:r>
          </w:p>
        </w:tc>
        <w:tc>
          <w:tcPr>
            <w:tcW w:w="10863" w:type="dxa"/>
            <w:hideMark/>
          </w:tcPr>
          <w:p w14:paraId="4ACC0B16"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Ensure that all public sector procurement spend actively supports this strategy so that by 2030 all new investment and purchase decisions are net zero.</w:t>
            </w:r>
          </w:p>
        </w:tc>
        <w:tc>
          <w:tcPr>
            <w:tcW w:w="8505" w:type="dxa"/>
          </w:tcPr>
          <w:p w14:paraId="10D2256F" w14:textId="77777777" w:rsidR="00131DAB" w:rsidRPr="009C4153" w:rsidRDefault="00131DAB" w:rsidP="00BF7028">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9C4153" w14:paraId="23EC9173" w14:textId="11FAA818" w:rsidTr="00E376F2">
        <w:trPr>
          <w:trHeight w:val="262"/>
        </w:trPr>
        <w:tc>
          <w:tcPr>
            <w:tcW w:w="1753" w:type="dxa"/>
            <w:shd w:val="clear" w:color="auto" w:fill="D3E2FF" w:themeFill="accent4" w:themeFillTint="1A"/>
            <w:noWrap/>
            <w:hideMark/>
          </w:tcPr>
          <w:p w14:paraId="4623083D"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7</w:t>
            </w:r>
          </w:p>
        </w:tc>
        <w:tc>
          <w:tcPr>
            <w:tcW w:w="10863" w:type="dxa"/>
            <w:shd w:val="clear" w:color="auto" w:fill="D3E2FF" w:themeFill="accent4" w:themeFillTint="1A"/>
            <w:hideMark/>
          </w:tcPr>
          <w:p w14:paraId="48FFDD62"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Delivering skills and workforce development</w:t>
            </w:r>
          </w:p>
        </w:tc>
        <w:tc>
          <w:tcPr>
            <w:tcW w:w="8505" w:type="dxa"/>
            <w:shd w:val="clear" w:color="auto" w:fill="D3E2FF" w:themeFill="accent4" w:themeFillTint="1A"/>
          </w:tcPr>
          <w:p w14:paraId="1ADCCE8C" w14:textId="77777777" w:rsidR="00131DAB" w:rsidRPr="009C4153" w:rsidRDefault="00131DAB" w:rsidP="00BF7028">
            <w:pPr>
              <w:spacing w:before="0" w:after="0" w:line="240" w:lineRule="auto"/>
              <w:rPr>
                <w:rFonts w:ascii="Calibri" w:eastAsia="Times New Roman" w:hAnsi="Calibri" w:cs="Calibri"/>
                <w:color w:val="000000"/>
                <w:sz w:val="22"/>
                <w:szCs w:val="22"/>
              </w:rPr>
            </w:pPr>
          </w:p>
        </w:tc>
      </w:tr>
      <w:tr w:rsidR="00131DAB" w:rsidRPr="009C4153" w14:paraId="6B5E2C8E" w14:textId="60CD006F" w:rsidTr="00E376F2">
        <w:trPr>
          <w:trHeight w:val="604"/>
        </w:trPr>
        <w:tc>
          <w:tcPr>
            <w:tcW w:w="1753" w:type="dxa"/>
            <w:noWrap/>
            <w:hideMark/>
          </w:tcPr>
          <w:p w14:paraId="4594B248"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7.1</w:t>
            </w:r>
          </w:p>
        </w:tc>
        <w:tc>
          <w:tcPr>
            <w:tcW w:w="10863" w:type="dxa"/>
            <w:hideMark/>
          </w:tcPr>
          <w:p w14:paraId="74885543"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Scope skill needs and align workforce development programmes to meet the requirements of net zero businesses, and ensure Edinburgh’s workforce can deliver on new heat and energy, retrofitting, transport and other investments</w:t>
            </w:r>
          </w:p>
        </w:tc>
        <w:tc>
          <w:tcPr>
            <w:tcW w:w="8505" w:type="dxa"/>
          </w:tcPr>
          <w:p w14:paraId="2D3BD4C4" w14:textId="77777777" w:rsidR="00131DAB" w:rsidRPr="009C4153" w:rsidRDefault="00131DAB" w:rsidP="00BF7028">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9C4153" w14:paraId="0C075049" w14:textId="342DEEFE" w:rsidTr="00E376F2">
        <w:trPr>
          <w:trHeight w:val="509"/>
        </w:trPr>
        <w:tc>
          <w:tcPr>
            <w:tcW w:w="1753" w:type="dxa"/>
            <w:noWrap/>
            <w:hideMark/>
          </w:tcPr>
          <w:p w14:paraId="16E03D1F"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7.2</w:t>
            </w:r>
          </w:p>
        </w:tc>
        <w:tc>
          <w:tcPr>
            <w:tcW w:w="10863" w:type="dxa"/>
            <w:hideMark/>
          </w:tcPr>
          <w:p w14:paraId="339599B7"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Support people from all backgrounds to access good quality jobs in a net zero economy, and ensure that new green job opportunities are accessible to, and targeted towards, those at greatest risk of poverty</w:t>
            </w:r>
          </w:p>
        </w:tc>
        <w:tc>
          <w:tcPr>
            <w:tcW w:w="8505" w:type="dxa"/>
          </w:tcPr>
          <w:p w14:paraId="0D36D7F3" w14:textId="77777777" w:rsidR="00131DAB" w:rsidRPr="009C4153" w:rsidRDefault="00131DAB" w:rsidP="00BF7028">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9C4153" w14:paraId="0BF77548" w14:textId="7D48D342" w:rsidTr="00E376F2">
        <w:trPr>
          <w:trHeight w:val="262"/>
        </w:trPr>
        <w:tc>
          <w:tcPr>
            <w:tcW w:w="1753" w:type="dxa"/>
            <w:shd w:val="clear" w:color="auto" w:fill="D3E2FF" w:themeFill="accent4" w:themeFillTint="1A"/>
            <w:noWrap/>
            <w:hideMark/>
          </w:tcPr>
          <w:p w14:paraId="0F9FAD2E"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8</w:t>
            </w:r>
          </w:p>
        </w:tc>
        <w:tc>
          <w:tcPr>
            <w:tcW w:w="10863" w:type="dxa"/>
            <w:shd w:val="clear" w:color="auto" w:fill="D3E2FF" w:themeFill="accent4" w:themeFillTint="1A"/>
            <w:hideMark/>
          </w:tcPr>
          <w:p w14:paraId="7BC37B13"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Securing enabling powers for local government, business and city partners to respond to climate change</w:t>
            </w:r>
          </w:p>
        </w:tc>
        <w:tc>
          <w:tcPr>
            <w:tcW w:w="8505" w:type="dxa"/>
            <w:shd w:val="clear" w:color="auto" w:fill="D3E2FF" w:themeFill="accent4" w:themeFillTint="1A"/>
          </w:tcPr>
          <w:p w14:paraId="15557F0B" w14:textId="77777777" w:rsidR="00131DAB" w:rsidRPr="009C4153" w:rsidRDefault="00131DAB" w:rsidP="00BF7028">
            <w:pPr>
              <w:spacing w:before="0" w:after="0" w:line="240" w:lineRule="auto"/>
              <w:rPr>
                <w:rFonts w:ascii="Calibri" w:eastAsia="Times New Roman" w:hAnsi="Calibri" w:cs="Calibri"/>
                <w:color w:val="000000"/>
                <w:sz w:val="22"/>
                <w:szCs w:val="22"/>
              </w:rPr>
            </w:pPr>
          </w:p>
        </w:tc>
      </w:tr>
      <w:tr w:rsidR="00131DAB" w:rsidRPr="009C4153" w14:paraId="1FC4D910" w14:textId="645CD60C" w:rsidTr="00E376F2">
        <w:trPr>
          <w:trHeight w:val="525"/>
        </w:trPr>
        <w:tc>
          <w:tcPr>
            <w:tcW w:w="1753" w:type="dxa"/>
            <w:noWrap/>
            <w:hideMark/>
          </w:tcPr>
          <w:p w14:paraId="2F5B0C0C"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8.1</w:t>
            </w:r>
          </w:p>
        </w:tc>
        <w:tc>
          <w:tcPr>
            <w:tcW w:w="10863" w:type="dxa"/>
            <w:hideMark/>
          </w:tcPr>
          <w:p w14:paraId="52E9E760"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Call on Scottish Government to empower public sector partners to collaborate on net zero joint public procurement approaches</w:t>
            </w:r>
          </w:p>
        </w:tc>
        <w:tc>
          <w:tcPr>
            <w:tcW w:w="8505" w:type="dxa"/>
          </w:tcPr>
          <w:p w14:paraId="725E1E7F" w14:textId="77777777" w:rsidR="00131DAB" w:rsidRPr="009C4153" w:rsidRDefault="00131DAB" w:rsidP="00BF7028">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9C4153" w14:paraId="133D4823" w14:textId="1E513A2A" w:rsidTr="00E376F2">
        <w:trPr>
          <w:trHeight w:val="720"/>
        </w:trPr>
        <w:tc>
          <w:tcPr>
            <w:tcW w:w="1753" w:type="dxa"/>
            <w:noWrap/>
            <w:hideMark/>
          </w:tcPr>
          <w:p w14:paraId="5DC7F614"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8.2</w:t>
            </w:r>
          </w:p>
        </w:tc>
        <w:tc>
          <w:tcPr>
            <w:tcW w:w="10863" w:type="dxa"/>
            <w:hideMark/>
          </w:tcPr>
          <w:p w14:paraId="5B38511A" w14:textId="77777777" w:rsidR="00131DAB" w:rsidRPr="009C4153" w:rsidRDefault="00131DAB" w:rsidP="00BF7028">
            <w:pPr>
              <w:spacing w:before="0" w:after="0" w:line="240" w:lineRule="auto"/>
              <w:rPr>
                <w:rFonts w:ascii="Calibri" w:eastAsia="Times New Roman" w:hAnsi="Calibri" w:cs="Calibri"/>
                <w:color w:val="000000"/>
                <w:sz w:val="22"/>
                <w:szCs w:val="22"/>
              </w:rPr>
            </w:pPr>
            <w:r w:rsidRPr="009C4153">
              <w:rPr>
                <w:rFonts w:ascii="Calibri" w:eastAsia="Times New Roman" w:hAnsi="Calibri" w:cs="Calibri"/>
                <w:color w:val="000000"/>
                <w:sz w:val="22"/>
                <w:szCs w:val="22"/>
              </w:rPr>
              <w:t>Call on the Scottish Government to build coherent and flexible legislative and regulatory frameworks that empower local government, business and city partners, so they can rapidly respond to the climate emergency in an agile and adaptive way.</w:t>
            </w:r>
          </w:p>
        </w:tc>
        <w:tc>
          <w:tcPr>
            <w:tcW w:w="8505" w:type="dxa"/>
          </w:tcPr>
          <w:p w14:paraId="1A8C4B9B" w14:textId="77777777" w:rsidR="00131DAB" w:rsidRPr="009C4153" w:rsidRDefault="00131DAB" w:rsidP="00BF7028">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bl>
    <w:p w14:paraId="152C265D" w14:textId="53B04363" w:rsidR="00B828C5" w:rsidRDefault="00B828C5" w:rsidP="00B9775A">
      <w:pPr>
        <w:rPr>
          <w:b/>
          <w:iCs/>
          <w:color w:val="333333" w:themeColor="text2"/>
          <w:szCs w:val="18"/>
        </w:rPr>
      </w:pPr>
    </w:p>
    <w:p w14:paraId="2C160E39" w14:textId="77777777" w:rsidR="00B828C5" w:rsidRDefault="00B828C5">
      <w:pPr>
        <w:rPr>
          <w:b/>
          <w:iCs/>
          <w:color w:val="333333" w:themeColor="text2"/>
          <w:szCs w:val="18"/>
        </w:rPr>
      </w:pPr>
      <w:r>
        <w:rPr>
          <w:b/>
          <w:iCs/>
          <w:color w:val="333333" w:themeColor="text2"/>
          <w:szCs w:val="18"/>
        </w:rPr>
        <w:br w:type="page"/>
      </w:r>
    </w:p>
    <w:p w14:paraId="7DC68CD6" w14:textId="7198C702" w:rsidR="004A02BE" w:rsidRDefault="000B3A2A" w:rsidP="008C1CCC">
      <w:pPr>
        <w:pStyle w:val="Figurecaption0"/>
        <w:ind w:left="0"/>
      </w:pPr>
      <w:r>
        <w:lastRenderedPageBreak/>
        <w:t>Table D.</w:t>
      </w:r>
      <w:r w:rsidR="00E376F2">
        <w:fldChar w:fldCharType="begin"/>
      </w:r>
      <w:r w:rsidR="00E376F2">
        <w:instrText xml:space="preserve"> SEQ Table \* ARABIC </w:instrText>
      </w:r>
      <w:r w:rsidR="00E376F2">
        <w:fldChar w:fldCharType="separate"/>
      </w:r>
      <w:r w:rsidR="00B9775A">
        <w:rPr>
          <w:noProof/>
        </w:rPr>
        <w:t>5</w:t>
      </w:r>
      <w:r w:rsidR="00E376F2">
        <w:rPr>
          <w:noProof/>
        </w:rPr>
        <w:fldChar w:fldCharType="end"/>
      </w:r>
      <w:r>
        <w:t>:</w:t>
      </w:r>
      <w:r w:rsidR="00B9775A">
        <w:t xml:space="preserve"> Listening to Citizens and </w:t>
      </w:r>
      <w:r>
        <w:t xml:space="preserve">Empowering </w:t>
      </w:r>
      <w:r w:rsidR="00B9775A">
        <w:t xml:space="preserve">Communities </w:t>
      </w:r>
      <w:r>
        <w:t>Strategic Action</w:t>
      </w:r>
      <w:r w:rsidR="00B9775A">
        <w:t xml:space="preserve"> Area</w:t>
      </w:r>
      <w:r>
        <w:t xml:space="preserve"> Sift</w:t>
      </w:r>
    </w:p>
    <w:tbl>
      <w:tblPr>
        <w:tblStyle w:val="JacobsTable1accentprimarythemes"/>
        <w:tblW w:w="21160" w:type="dxa"/>
        <w:tblLook w:val="04A0" w:firstRow="1" w:lastRow="0" w:firstColumn="1" w:lastColumn="0" w:noHBand="0" w:noVBand="1"/>
      </w:tblPr>
      <w:tblGrid>
        <w:gridCol w:w="1614"/>
        <w:gridCol w:w="11002"/>
        <w:gridCol w:w="8544"/>
      </w:tblGrid>
      <w:tr w:rsidR="00131DAB" w14:paraId="798D0C3E" w14:textId="11CBB266" w:rsidTr="00E376F2">
        <w:trPr>
          <w:cnfStyle w:val="100000000000" w:firstRow="1" w:lastRow="0" w:firstColumn="0" w:lastColumn="0" w:oddVBand="0" w:evenVBand="0" w:oddHBand="0" w:evenHBand="0" w:firstRowFirstColumn="0" w:firstRowLastColumn="0" w:lastRowFirstColumn="0" w:lastRowLastColumn="0"/>
          <w:trHeight w:val="233"/>
        </w:trPr>
        <w:tc>
          <w:tcPr>
            <w:tcW w:w="1614" w:type="dxa"/>
          </w:tcPr>
          <w:p w14:paraId="1BB4DBD2" w14:textId="77777777" w:rsidR="00131DAB" w:rsidRDefault="00131DAB" w:rsidP="004A3B93">
            <w:pPr>
              <w:pStyle w:val="BodyText"/>
              <w:spacing w:before="0" w:after="0"/>
            </w:pPr>
            <w:r>
              <w:t>Number</w:t>
            </w:r>
          </w:p>
        </w:tc>
        <w:tc>
          <w:tcPr>
            <w:tcW w:w="11002" w:type="dxa"/>
          </w:tcPr>
          <w:p w14:paraId="0461D3CB" w14:textId="0D177AA3" w:rsidR="00131DAB" w:rsidRDefault="00131DAB" w:rsidP="004A3B93">
            <w:pPr>
              <w:pStyle w:val="BodyText"/>
              <w:spacing w:before="0" w:after="0"/>
            </w:pPr>
            <w:r>
              <w:t xml:space="preserve">Strategic Action </w:t>
            </w:r>
          </w:p>
        </w:tc>
        <w:tc>
          <w:tcPr>
            <w:tcW w:w="8544" w:type="dxa"/>
          </w:tcPr>
          <w:p w14:paraId="38C965AB" w14:textId="55FFD9FD" w:rsidR="00131DAB" w:rsidRDefault="00131DAB" w:rsidP="004A3B93">
            <w:pPr>
              <w:pStyle w:val="BodyText"/>
              <w:spacing w:before="0" w:after="0"/>
            </w:pPr>
            <w:r>
              <w:t>Sifted in/out</w:t>
            </w:r>
          </w:p>
        </w:tc>
      </w:tr>
      <w:tr w:rsidR="00131DAB" w:rsidRPr="00001411" w14:paraId="42D6F7B1" w14:textId="7441E32F" w:rsidTr="00E376F2">
        <w:trPr>
          <w:trHeight w:val="241"/>
        </w:trPr>
        <w:tc>
          <w:tcPr>
            <w:tcW w:w="1614" w:type="dxa"/>
            <w:shd w:val="clear" w:color="auto" w:fill="D3E2FF" w:themeFill="accent4" w:themeFillTint="1A"/>
            <w:noWrap/>
            <w:hideMark/>
          </w:tcPr>
          <w:p w14:paraId="3E8EE79A"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1</w:t>
            </w:r>
          </w:p>
        </w:tc>
        <w:tc>
          <w:tcPr>
            <w:tcW w:w="11002" w:type="dxa"/>
            <w:shd w:val="clear" w:color="auto" w:fill="D3E2FF" w:themeFill="accent4" w:themeFillTint="1A"/>
            <w:hideMark/>
          </w:tcPr>
          <w:p w14:paraId="0B57D019"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Citizen engagement and dialogue</w:t>
            </w:r>
          </w:p>
        </w:tc>
        <w:tc>
          <w:tcPr>
            <w:tcW w:w="8544" w:type="dxa"/>
            <w:shd w:val="clear" w:color="auto" w:fill="D3E2FF" w:themeFill="accent4" w:themeFillTint="1A"/>
          </w:tcPr>
          <w:p w14:paraId="786DA1FF" w14:textId="77777777" w:rsidR="00131DAB" w:rsidRPr="00001411" w:rsidRDefault="00131DAB" w:rsidP="004A3B93">
            <w:pPr>
              <w:spacing w:before="0" w:after="0" w:line="240" w:lineRule="auto"/>
              <w:rPr>
                <w:rFonts w:ascii="Calibri" w:eastAsia="Times New Roman" w:hAnsi="Calibri" w:cs="Calibri"/>
                <w:color w:val="000000"/>
                <w:sz w:val="22"/>
                <w:szCs w:val="22"/>
              </w:rPr>
            </w:pPr>
          </w:p>
        </w:tc>
      </w:tr>
      <w:tr w:rsidR="00131DAB" w:rsidRPr="00001411" w14:paraId="742AF1F0" w14:textId="6D7CE9B0" w:rsidTr="00E376F2">
        <w:trPr>
          <w:trHeight w:val="620"/>
        </w:trPr>
        <w:tc>
          <w:tcPr>
            <w:tcW w:w="1614" w:type="dxa"/>
            <w:noWrap/>
            <w:hideMark/>
          </w:tcPr>
          <w:p w14:paraId="4BE92C5F"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1.1</w:t>
            </w:r>
          </w:p>
        </w:tc>
        <w:tc>
          <w:tcPr>
            <w:tcW w:w="11002" w:type="dxa"/>
            <w:hideMark/>
          </w:tcPr>
          <w:p w14:paraId="4B582801"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Maintain an ongoing open dialogue with citizens about the transformation that needs to happen in the city, sponsoring a new independent Edinburgh Community Climate Forum to collaborate on how we take decisions and deliver change together.</w:t>
            </w:r>
          </w:p>
        </w:tc>
        <w:tc>
          <w:tcPr>
            <w:tcW w:w="8544" w:type="dxa"/>
          </w:tcPr>
          <w:p w14:paraId="6DC2ADA1" w14:textId="23219163" w:rsidR="00131DAB" w:rsidRPr="00001411"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001411" w14:paraId="37CB4990" w14:textId="0BDE19F3" w:rsidTr="00E376F2">
        <w:trPr>
          <w:trHeight w:val="482"/>
        </w:trPr>
        <w:tc>
          <w:tcPr>
            <w:tcW w:w="1614" w:type="dxa"/>
            <w:noWrap/>
            <w:hideMark/>
          </w:tcPr>
          <w:p w14:paraId="2E9071F5"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1.2</w:t>
            </w:r>
          </w:p>
        </w:tc>
        <w:tc>
          <w:tcPr>
            <w:tcW w:w="11002" w:type="dxa"/>
            <w:hideMark/>
          </w:tcPr>
          <w:p w14:paraId="7670A1E3"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Maximise opportunities to focus on climate change across our whole education system, all City of Edinburgh and other schools.</w:t>
            </w:r>
          </w:p>
        </w:tc>
        <w:tc>
          <w:tcPr>
            <w:tcW w:w="8544" w:type="dxa"/>
          </w:tcPr>
          <w:p w14:paraId="3B3A5C5B" w14:textId="1A857491" w:rsidR="00131DAB" w:rsidRPr="00001411"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001411" w14:paraId="54AA7AAE" w14:textId="52AB5DCB" w:rsidTr="00E376F2">
        <w:trPr>
          <w:trHeight w:val="482"/>
        </w:trPr>
        <w:tc>
          <w:tcPr>
            <w:tcW w:w="1614" w:type="dxa"/>
            <w:noWrap/>
            <w:hideMark/>
          </w:tcPr>
          <w:p w14:paraId="0CD1FBC6"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1.3</w:t>
            </w:r>
          </w:p>
        </w:tc>
        <w:tc>
          <w:tcPr>
            <w:tcW w:w="11002" w:type="dxa"/>
            <w:hideMark/>
          </w:tcPr>
          <w:p w14:paraId="6EB481F7"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Call on the Scottish Government to work with city partners on awareness raising campaigns which support a frank discussion on climate change action.</w:t>
            </w:r>
          </w:p>
        </w:tc>
        <w:tc>
          <w:tcPr>
            <w:tcW w:w="8544" w:type="dxa"/>
          </w:tcPr>
          <w:p w14:paraId="4E8D82A7" w14:textId="7826B5E8" w:rsidR="00131DAB" w:rsidRPr="00001411"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001411" w14:paraId="44C7068A" w14:textId="73AB3152" w:rsidTr="00E376F2">
        <w:trPr>
          <w:trHeight w:val="241"/>
        </w:trPr>
        <w:tc>
          <w:tcPr>
            <w:tcW w:w="1614" w:type="dxa"/>
            <w:shd w:val="clear" w:color="auto" w:fill="D3E2FF" w:themeFill="accent4" w:themeFillTint="1A"/>
            <w:noWrap/>
            <w:hideMark/>
          </w:tcPr>
          <w:p w14:paraId="5687D2B3"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2</w:t>
            </w:r>
          </w:p>
        </w:tc>
        <w:tc>
          <w:tcPr>
            <w:tcW w:w="11002" w:type="dxa"/>
            <w:shd w:val="clear" w:color="auto" w:fill="D3E2FF" w:themeFill="accent4" w:themeFillTint="1A"/>
            <w:hideMark/>
          </w:tcPr>
          <w:p w14:paraId="33AB1164"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Delivering sustainable services that enhance community wellbeing and economic benefits</w:t>
            </w:r>
          </w:p>
        </w:tc>
        <w:tc>
          <w:tcPr>
            <w:tcW w:w="8544" w:type="dxa"/>
            <w:shd w:val="clear" w:color="auto" w:fill="D3E2FF" w:themeFill="accent4" w:themeFillTint="1A"/>
          </w:tcPr>
          <w:p w14:paraId="6B00BF32" w14:textId="77777777" w:rsidR="00131DAB" w:rsidRPr="00001411" w:rsidRDefault="00131DAB" w:rsidP="004A3B93">
            <w:pPr>
              <w:spacing w:before="0" w:after="0" w:line="240" w:lineRule="auto"/>
              <w:rPr>
                <w:rFonts w:ascii="Calibri" w:eastAsia="Times New Roman" w:hAnsi="Calibri" w:cs="Calibri"/>
                <w:color w:val="000000"/>
                <w:sz w:val="22"/>
                <w:szCs w:val="22"/>
              </w:rPr>
            </w:pPr>
          </w:p>
        </w:tc>
      </w:tr>
      <w:tr w:rsidR="00131DAB" w:rsidRPr="00001411" w14:paraId="063A0D69" w14:textId="3A2BFEAF" w:rsidTr="00E376F2">
        <w:trPr>
          <w:trHeight w:val="482"/>
        </w:trPr>
        <w:tc>
          <w:tcPr>
            <w:tcW w:w="1614" w:type="dxa"/>
            <w:noWrap/>
            <w:hideMark/>
          </w:tcPr>
          <w:p w14:paraId="2252B47A"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2.1</w:t>
            </w:r>
          </w:p>
        </w:tc>
        <w:tc>
          <w:tcPr>
            <w:tcW w:w="11002" w:type="dxa"/>
            <w:hideMark/>
          </w:tcPr>
          <w:p w14:paraId="59E265B7"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Develop sustainable models of public services interventions which deliver improved environmental and population health outcomes</w:t>
            </w:r>
          </w:p>
        </w:tc>
        <w:tc>
          <w:tcPr>
            <w:tcW w:w="8544" w:type="dxa"/>
          </w:tcPr>
          <w:p w14:paraId="629A5EEF" w14:textId="4B7B1BBA" w:rsidR="00131DAB" w:rsidRPr="00001411"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Out</w:t>
            </w:r>
            <w:r w:rsidRPr="00001411">
              <w:rPr>
                <w:rFonts w:ascii="Calibri" w:eastAsia="Times New Roman" w:hAnsi="Calibri" w:cs="Calibri"/>
                <w:color w:val="000000"/>
                <w:sz w:val="22"/>
                <w:szCs w:val="22"/>
              </w:rPr>
              <w:t xml:space="preserve"> - </w:t>
            </w:r>
            <w:r w:rsidRPr="000D201C">
              <w:rPr>
                <w:rFonts w:ascii="Calibri" w:hAnsi="Calibri" w:cs="Calibri"/>
                <w:sz w:val="22"/>
                <w:szCs w:val="22"/>
              </w:rPr>
              <w:t>The City Plan 2030 gives attention to the lifelong health benefits of walking, wheeling and cycling by creating streets and public spaces for people over cars and improving and expanding sustainable public transport</w:t>
            </w:r>
            <w:r>
              <w:rPr>
                <w:rFonts w:ascii="Calibri" w:hAnsi="Calibri" w:cs="Calibri"/>
                <w:sz w:val="22"/>
                <w:szCs w:val="22"/>
              </w:rPr>
              <w:t xml:space="preserve"> (page 30).</w:t>
            </w:r>
            <w:r w:rsidRPr="000D201C">
              <w:rPr>
                <w:rFonts w:ascii="Calibri" w:hAnsi="Calibri" w:cs="Calibri"/>
                <w:sz w:val="22"/>
                <w:szCs w:val="22"/>
              </w:rPr>
              <w:t xml:space="preserve"> </w:t>
            </w:r>
            <w:r w:rsidRPr="000D201C">
              <w:rPr>
                <w:rFonts w:ascii="Calibri" w:eastAsia="Times New Roman" w:hAnsi="Calibri" w:cs="Calibri"/>
                <w:color w:val="000000"/>
                <w:sz w:val="22"/>
                <w:szCs w:val="22"/>
              </w:rPr>
              <w:t>Emphasis</w:t>
            </w:r>
            <w:r>
              <w:rPr>
                <w:rFonts w:ascii="Calibri" w:eastAsia="Times New Roman" w:hAnsi="Calibri" w:cs="Calibri"/>
                <w:color w:val="000000"/>
                <w:sz w:val="22"/>
                <w:szCs w:val="22"/>
              </w:rPr>
              <w:t xml:space="preserve"> placed on the integration of public services that supports both healthcare and education services (page 8). Further information on the importance of interventions that support wellbeing and equalities outlined on page 14.  </w:t>
            </w:r>
          </w:p>
        </w:tc>
      </w:tr>
      <w:tr w:rsidR="00131DAB" w:rsidRPr="00001411" w14:paraId="312D2F1D" w14:textId="5B520C3C" w:rsidTr="00E376F2">
        <w:trPr>
          <w:trHeight w:val="218"/>
        </w:trPr>
        <w:tc>
          <w:tcPr>
            <w:tcW w:w="1614" w:type="dxa"/>
            <w:noWrap/>
            <w:hideMark/>
          </w:tcPr>
          <w:p w14:paraId="7C213A9A"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2.2</w:t>
            </w:r>
          </w:p>
        </w:tc>
        <w:tc>
          <w:tcPr>
            <w:tcW w:w="11002" w:type="dxa"/>
            <w:hideMark/>
          </w:tcPr>
          <w:p w14:paraId="21D20E66"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Develop a city-wide programme of community energy generation investment opportunities</w:t>
            </w:r>
          </w:p>
        </w:tc>
        <w:tc>
          <w:tcPr>
            <w:tcW w:w="8544" w:type="dxa"/>
          </w:tcPr>
          <w:p w14:paraId="0B558853" w14:textId="05E78B32" w:rsidR="00131DAB" w:rsidRPr="00001411"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001411" w14:paraId="54A0D1C6" w14:textId="2F1A69A8" w:rsidTr="00E376F2">
        <w:trPr>
          <w:trHeight w:val="241"/>
        </w:trPr>
        <w:tc>
          <w:tcPr>
            <w:tcW w:w="1614" w:type="dxa"/>
            <w:shd w:val="clear" w:color="auto" w:fill="D3E2FF" w:themeFill="accent4" w:themeFillTint="1A"/>
            <w:noWrap/>
            <w:hideMark/>
          </w:tcPr>
          <w:p w14:paraId="26B3685C"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3</w:t>
            </w:r>
          </w:p>
        </w:tc>
        <w:tc>
          <w:tcPr>
            <w:tcW w:w="11002" w:type="dxa"/>
            <w:shd w:val="clear" w:color="auto" w:fill="D3E2FF" w:themeFill="accent4" w:themeFillTint="1A"/>
            <w:hideMark/>
          </w:tcPr>
          <w:p w14:paraId="4BB75E13"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Information about climate change</w:t>
            </w:r>
          </w:p>
        </w:tc>
        <w:tc>
          <w:tcPr>
            <w:tcW w:w="8544" w:type="dxa"/>
            <w:shd w:val="clear" w:color="auto" w:fill="D3E2FF" w:themeFill="accent4" w:themeFillTint="1A"/>
          </w:tcPr>
          <w:p w14:paraId="3D284784" w14:textId="77777777" w:rsidR="00131DAB" w:rsidRPr="00001411" w:rsidRDefault="00131DAB" w:rsidP="004A3B93">
            <w:pPr>
              <w:spacing w:before="0" w:after="0" w:line="240" w:lineRule="auto"/>
              <w:rPr>
                <w:rFonts w:ascii="Calibri" w:eastAsia="Times New Roman" w:hAnsi="Calibri" w:cs="Calibri"/>
                <w:color w:val="000000"/>
                <w:sz w:val="22"/>
                <w:szCs w:val="22"/>
              </w:rPr>
            </w:pPr>
          </w:p>
        </w:tc>
      </w:tr>
      <w:tr w:rsidR="00131DAB" w:rsidRPr="00001411" w14:paraId="4D2B767F" w14:textId="1A0A1A72" w:rsidTr="00E376F2">
        <w:trPr>
          <w:trHeight w:val="241"/>
        </w:trPr>
        <w:tc>
          <w:tcPr>
            <w:tcW w:w="1614" w:type="dxa"/>
            <w:noWrap/>
            <w:hideMark/>
          </w:tcPr>
          <w:p w14:paraId="389C6EB9"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3.1</w:t>
            </w:r>
          </w:p>
        </w:tc>
        <w:tc>
          <w:tcPr>
            <w:tcW w:w="11002" w:type="dxa"/>
            <w:hideMark/>
          </w:tcPr>
          <w:p w14:paraId="64508838"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Deliver awareness-raising campaigns</w:t>
            </w:r>
          </w:p>
        </w:tc>
        <w:tc>
          <w:tcPr>
            <w:tcW w:w="8544" w:type="dxa"/>
          </w:tcPr>
          <w:p w14:paraId="68A676C5" w14:textId="3BCD30DF" w:rsidR="00131DAB" w:rsidRPr="00001411"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001411" w14:paraId="487731FD" w14:textId="2EBABD35" w:rsidTr="00E376F2">
        <w:trPr>
          <w:trHeight w:val="241"/>
        </w:trPr>
        <w:tc>
          <w:tcPr>
            <w:tcW w:w="1614" w:type="dxa"/>
            <w:noWrap/>
            <w:hideMark/>
          </w:tcPr>
          <w:p w14:paraId="176DD69C"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3.2</w:t>
            </w:r>
          </w:p>
        </w:tc>
        <w:tc>
          <w:tcPr>
            <w:tcW w:w="11002" w:type="dxa"/>
            <w:hideMark/>
          </w:tcPr>
          <w:p w14:paraId="6BCECFE6"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Support citizens to make informed choices that help to tackle climate change</w:t>
            </w:r>
          </w:p>
        </w:tc>
        <w:tc>
          <w:tcPr>
            <w:tcW w:w="8544" w:type="dxa"/>
          </w:tcPr>
          <w:p w14:paraId="0C95D3FB" w14:textId="077CBA22" w:rsidR="00131DAB" w:rsidRPr="00001411"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Out</w:t>
            </w:r>
            <w:r w:rsidRPr="00001411">
              <w:rPr>
                <w:rFonts w:ascii="Calibri" w:eastAsia="Times New Roman" w:hAnsi="Calibri" w:cs="Calibri"/>
                <w:color w:val="000000"/>
                <w:sz w:val="22"/>
                <w:szCs w:val="22"/>
              </w:rPr>
              <w:t xml:space="preserve"> - </w:t>
            </w:r>
            <w:r>
              <w:rPr>
                <w:rFonts w:ascii="Calibri" w:eastAsia="Times New Roman" w:hAnsi="Calibri" w:cs="Calibri"/>
                <w:color w:val="000000"/>
                <w:sz w:val="22"/>
                <w:szCs w:val="22"/>
              </w:rPr>
              <w:t>The City Plan proposes a number of interventions that will support citizens to make informed choices that help to tackle climate change. This includes the integration of cycle parking (Inf 6, page 127), the Cycle and Footpath Network (Inf 10, page 129) and Public Transport Proposals and Safeguards (Inf 11, page 129).</w:t>
            </w:r>
          </w:p>
        </w:tc>
      </w:tr>
      <w:tr w:rsidR="00131DAB" w:rsidRPr="00001411" w14:paraId="71E90537" w14:textId="4E54D515" w:rsidTr="00E376F2">
        <w:trPr>
          <w:trHeight w:val="241"/>
        </w:trPr>
        <w:tc>
          <w:tcPr>
            <w:tcW w:w="1614" w:type="dxa"/>
            <w:shd w:val="clear" w:color="auto" w:fill="D3E2FF" w:themeFill="accent4" w:themeFillTint="1A"/>
            <w:noWrap/>
            <w:hideMark/>
          </w:tcPr>
          <w:p w14:paraId="688E9824"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4</w:t>
            </w:r>
          </w:p>
        </w:tc>
        <w:tc>
          <w:tcPr>
            <w:tcW w:w="11002" w:type="dxa"/>
            <w:shd w:val="clear" w:color="auto" w:fill="D3E2FF" w:themeFill="accent4" w:themeFillTint="1A"/>
            <w:hideMark/>
          </w:tcPr>
          <w:p w14:paraId="416F9D0E"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Supporting and engaging young people</w:t>
            </w:r>
          </w:p>
        </w:tc>
        <w:tc>
          <w:tcPr>
            <w:tcW w:w="8544" w:type="dxa"/>
            <w:shd w:val="clear" w:color="auto" w:fill="D3E2FF" w:themeFill="accent4" w:themeFillTint="1A"/>
          </w:tcPr>
          <w:p w14:paraId="150C52A4" w14:textId="77777777" w:rsidR="00131DAB" w:rsidRPr="00001411" w:rsidRDefault="00131DAB" w:rsidP="004A3B93">
            <w:pPr>
              <w:spacing w:before="0" w:after="0" w:line="240" w:lineRule="auto"/>
              <w:rPr>
                <w:rFonts w:ascii="Calibri" w:eastAsia="Times New Roman" w:hAnsi="Calibri" w:cs="Calibri"/>
                <w:color w:val="000000"/>
                <w:sz w:val="22"/>
                <w:szCs w:val="22"/>
              </w:rPr>
            </w:pPr>
          </w:p>
        </w:tc>
      </w:tr>
      <w:tr w:rsidR="00131DAB" w:rsidRPr="00001411" w14:paraId="1B7B7BBA" w14:textId="603EE7AD" w:rsidTr="00E376F2">
        <w:trPr>
          <w:trHeight w:val="482"/>
        </w:trPr>
        <w:tc>
          <w:tcPr>
            <w:tcW w:w="1614" w:type="dxa"/>
            <w:noWrap/>
            <w:hideMark/>
          </w:tcPr>
          <w:p w14:paraId="1379F4BC"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4.1</w:t>
            </w:r>
          </w:p>
        </w:tc>
        <w:tc>
          <w:tcPr>
            <w:tcW w:w="11002" w:type="dxa"/>
            <w:hideMark/>
          </w:tcPr>
          <w:p w14:paraId="48AE9D8C"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Work with young people in schools and in communities, to embed a legacy of change, drawing on COP26 coming to Scotland</w:t>
            </w:r>
          </w:p>
        </w:tc>
        <w:tc>
          <w:tcPr>
            <w:tcW w:w="8544" w:type="dxa"/>
          </w:tcPr>
          <w:p w14:paraId="762F0DE2" w14:textId="17D74568" w:rsidR="00131DAB" w:rsidRPr="00001411"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001411" w14:paraId="34FB4BEC" w14:textId="6D188B8E" w:rsidTr="00E376F2">
        <w:trPr>
          <w:trHeight w:val="502"/>
        </w:trPr>
        <w:tc>
          <w:tcPr>
            <w:tcW w:w="1614" w:type="dxa"/>
            <w:noWrap/>
            <w:hideMark/>
          </w:tcPr>
          <w:p w14:paraId="6B46444B"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4.2</w:t>
            </w:r>
          </w:p>
        </w:tc>
        <w:tc>
          <w:tcPr>
            <w:tcW w:w="11002" w:type="dxa"/>
            <w:hideMark/>
          </w:tcPr>
          <w:p w14:paraId="01B6D428"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Maximise opportunities to use school buildings and grounds to engage young people on climate change, help reduce schools’ emissions and increase their contribution to greenspace and biodiversity</w:t>
            </w:r>
          </w:p>
        </w:tc>
        <w:tc>
          <w:tcPr>
            <w:tcW w:w="8544" w:type="dxa"/>
          </w:tcPr>
          <w:p w14:paraId="03BA4461" w14:textId="48C4A0AA" w:rsidR="00131DAB" w:rsidRPr="00001411"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001411" w14:paraId="076FBE56" w14:textId="6E46D5D0" w:rsidTr="00E376F2">
        <w:trPr>
          <w:trHeight w:val="241"/>
        </w:trPr>
        <w:tc>
          <w:tcPr>
            <w:tcW w:w="1614" w:type="dxa"/>
            <w:noWrap/>
            <w:hideMark/>
          </w:tcPr>
          <w:p w14:paraId="279C6292"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4.3</w:t>
            </w:r>
          </w:p>
        </w:tc>
        <w:tc>
          <w:tcPr>
            <w:tcW w:w="11002" w:type="dxa"/>
            <w:hideMark/>
          </w:tcPr>
          <w:p w14:paraId="357E399B"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Strengthen climate change within our curriculum</w:t>
            </w:r>
          </w:p>
        </w:tc>
        <w:tc>
          <w:tcPr>
            <w:tcW w:w="8544" w:type="dxa"/>
          </w:tcPr>
          <w:p w14:paraId="5848892A" w14:textId="55F779D6" w:rsidR="00131DAB" w:rsidRPr="00001411"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001411" w14:paraId="6D83E9FE" w14:textId="2E362ABF" w:rsidTr="00E376F2">
        <w:trPr>
          <w:trHeight w:val="241"/>
        </w:trPr>
        <w:tc>
          <w:tcPr>
            <w:tcW w:w="1614" w:type="dxa"/>
            <w:noWrap/>
            <w:hideMark/>
          </w:tcPr>
          <w:p w14:paraId="64E5A230"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4.4</w:t>
            </w:r>
          </w:p>
        </w:tc>
        <w:tc>
          <w:tcPr>
            <w:tcW w:w="11002" w:type="dxa"/>
            <w:hideMark/>
          </w:tcPr>
          <w:p w14:paraId="588BE713"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Deliver a hydrogen education programme and schools challenge</w:t>
            </w:r>
          </w:p>
        </w:tc>
        <w:tc>
          <w:tcPr>
            <w:tcW w:w="8544" w:type="dxa"/>
          </w:tcPr>
          <w:p w14:paraId="65E32C8A" w14:textId="23DC190E" w:rsidR="00131DAB" w:rsidRPr="00001411"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131DAB" w:rsidRPr="00001411" w14:paraId="7C18731F" w14:textId="1ECF9AE3" w:rsidTr="00E376F2">
        <w:trPr>
          <w:trHeight w:val="241"/>
        </w:trPr>
        <w:tc>
          <w:tcPr>
            <w:tcW w:w="1614" w:type="dxa"/>
            <w:shd w:val="clear" w:color="auto" w:fill="D3E2FF" w:themeFill="accent4" w:themeFillTint="1A"/>
            <w:noWrap/>
            <w:hideMark/>
          </w:tcPr>
          <w:p w14:paraId="43698546"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5</w:t>
            </w:r>
          </w:p>
        </w:tc>
        <w:tc>
          <w:tcPr>
            <w:tcW w:w="11002" w:type="dxa"/>
            <w:shd w:val="clear" w:color="auto" w:fill="D3E2FF" w:themeFill="accent4" w:themeFillTint="1A"/>
            <w:hideMark/>
          </w:tcPr>
          <w:p w14:paraId="422AB96D"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Net zero communities</w:t>
            </w:r>
          </w:p>
        </w:tc>
        <w:tc>
          <w:tcPr>
            <w:tcW w:w="8544" w:type="dxa"/>
            <w:shd w:val="clear" w:color="auto" w:fill="D3E2FF" w:themeFill="accent4" w:themeFillTint="1A"/>
          </w:tcPr>
          <w:p w14:paraId="50EBE623" w14:textId="77777777" w:rsidR="00131DAB" w:rsidRPr="00001411" w:rsidRDefault="00131DAB" w:rsidP="004A3B93">
            <w:pPr>
              <w:spacing w:before="0" w:after="0" w:line="240" w:lineRule="auto"/>
              <w:rPr>
                <w:rFonts w:ascii="Calibri" w:eastAsia="Times New Roman" w:hAnsi="Calibri" w:cs="Calibri"/>
                <w:color w:val="000000"/>
                <w:sz w:val="22"/>
                <w:szCs w:val="22"/>
              </w:rPr>
            </w:pPr>
          </w:p>
        </w:tc>
      </w:tr>
      <w:tr w:rsidR="00131DAB" w:rsidRPr="00001411" w14:paraId="7659163D" w14:textId="5204A660" w:rsidTr="00E376F2">
        <w:trPr>
          <w:trHeight w:val="414"/>
        </w:trPr>
        <w:tc>
          <w:tcPr>
            <w:tcW w:w="1614" w:type="dxa"/>
            <w:noWrap/>
            <w:hideMark/>
          </w:tcPr>
          <w:p w14:paraId="51055503"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5.1</w:t>
            </w:r>
          </w:p>
        </w:tc>
        <w:tc>
          <w:tcPr>
            <w:tcW w:w="11002" w:type="dxa"/>
            <w:hideMark/>
          </w:tcPr>
          <w:p w14:paraId="549B2B88" w14:textId="77777777" w:rsidR="00131DAB" w:rsidRPr="00001411" w:rsidRDefault="00131DAB" w:rsidP="004A3B93">
            <w:pPr>
              <w:spacing w:before="0" w:after="0" w:line="240" w:lineRule="auto"/>
              <w:rPr>
                <w:rFonts w:ascii="Calibri" w:eastAsia="Times New Roman" w:hAnsi="Calibri" w:cs="Calibri"/>
                <w:color w:val="000000"/>
                <w:sz w:val="22"/>
                <w:szCs w:val="22"/>
              </w:rPr>
            </w:pPr>
            <w:r w:rsidRPr="00001411">
              <w:rPr>
                <w:rFonts w:ascii="Calibri" w:eastAsia="Times New Roman" w:hAnsi="Calibri" w:cs="Calibri"/>
                <w:color w:val="000000"/>
                <w:sz w:val="22"/>
                <w:szCs w:val="22"/>
              </w:rPr>
              <w:t>Work with communities to develop proposals and seek funding for a pilot to understand what it would take for one of the 20-minute neighbourhood hubs to become a net zero community.</w:t>
            </w:r>
          </w:p>
        </w:tc>
        <w:tc>
          <w:tcPr>
            <w:tcW w:w="8544" w:type="dxa"/>
          </w:tcPr>
          <w:p w14:paraId="7D7AA1F0" w14:textId="73C66CAA" w:rsidR="00131DAB" w:rsidRPr="00001411" w:rsidRDefault="00131DAB" w:rsidP="004A3B93">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bl>
    <w:p w14:paraId="76CABA00" w14:textId="77777777" w:rsidR="00B828C5" w:rsidRDefault="00B828C5" w:rsidP="008C1CCC">
      <w:pPr>
        <w:pStyle w:val="Figurecaption0"/>
        <w:ind w:left="0"/>
      </w:pPr>
    </w:p>
    <w:p w14:paraId="149BF76F" w14:textId="77777777" w:rsidR="00B828C5" w:rsidRDefault="00B828C5">
      <w:pPr>
        <w:rPr>
          <w:rFonts w:asciiTheme="minorHAnsi" w:hAnsiTheme="minorHAnsi"/>
        </w:rPr>
      </w:pPr>
      <w:r>
        <w:br w:type="page"/>
      </w:r>
    </w:p>
    <w:p w14:paraId="2380B538" w14:textId="5A4E9AF8" w:rsidR="000B3A2A" w:rsidRDefault="00B57DAA" w:rsidP="008C1CCC">
      <w:pPr>
        <w:pStyle w:val="Figurecaption0"/>
        <w:ind w:left="0"/>
      </w:pPr>
      <w:r>
        <w:lastRenderedPageBreak/>
        <w:t>Table D.</w:t>
      </w:r>
      <w:r w:rsidR="00E376F2">
        <w:fldChar w:fldCharType="begin"/>
      </w:r>
      <w:r w:rsidR="00E376F2">
        <w:instrText xml:space="preserve"> SEQ Table \* ARABIC </w:instrText>
      </w:r>
      <w:r w:rsidR="00E376F2">
        <w:fldChar w:fldCharType="separate"/>
      </w:r>
      <w:r w:rsidR="00B9775A">
        <w:rPr>
          <w:noProof/>
        </w:rPr>
        <w:t>6</w:t>
      </w:r>
      <w:r w:rsidR="00E376F2">
        <w:rPr>
          <w:noProof/>
        </w:rPr>
        <w:fldChar w:fldCharType="end"/>
      </w:r>
      <w:r>
        <w:t xml:space="preserve">: Investing in Change Strategic Action </w:t>
      </w:r>
      <w:r w:rsidR="00B9775A">
        <w:t xml:space="preserve">Area </w:t>
      </w:r>
      <w:r>
        <w:t>Sift</w:t>
      </w:r>
    </w:p>
    <w:tbl>
      <w:tblPr>
        <w:tblStyle w:val="JacobsTable1accentprimarythemes"/>
        <w:tblW w:w="21263" w:type="dxa"/>
        <w:tblLook w:val="04A0" w:firstRow="1" w:lastRow="0" w:firstColumn="1" w:lastColumn="0" w:noHBand="0" w:noVBand="1"/>
      </w:tblPr>
      <w:tblGrid>
        <w:gridCol w:w="1276"/>
        <w:gridCol w:w="11340"/>
        <w:gridCol w:w="8647"/>
      </w:tblGrid>
      <w:tr w:rsidR="004A3B93" w14:paraId="581F6FEE" w14:textId="77777777" w:rsidTr="00E376F2">
        <w:trPr>
          <w:cnfStyle w:val="100000000000" w:firstRow="1" w:lastRow="0" w:firstColumn="0" w:lastColumn="0" w:oddVBand="0" w:evenVBand="0" w:oddHBand="0" w:evenHBand="0" w:firstRowFirstColumn="0" w:firstRowLastColumn="0" w:lastRowFirstColumn="0" w:lastRowLastColumn="0"/>
        </w:trPr>
        <w:tc>
          <w:tcPr>
            <w:tcW w:w="1276" w:type="dxa"/>
          </w:tcPr>
          <w:p w14:paraId="1EC95310" w14:textId="77777777" w:rsidR="004A3B93" w:rsidRDefault="004A3B93" w:rsidP="00F1605D">
            <w:pPr>
              <w:pStyle w:val="BodyText"/>
            </w:pPr>
            <w:r>
              <w:t>Number</w:t>
            </w:r>
          </w:p>
        </w:tc>
        <w:tc>
          <w:tcPr>
            <w:tcW w:w="11340" w:type="dxa"/>
          </w:tcPr>
          <w:p w14:paraId="2C8447DC" w14:textId="58C869B3" w:rsidR="004A3B93" w:rsidRDefault="004A3B93" w:rsidP="00F1605D">
            <w:pPr>
              <w:pStyle w:val="BodyText"/>
            </w:pPr>
            <w:r>
              <w:t xml:space="preserve">Strategic Action </w:t>
            </w:r>
          </w:p>
        </w:tc>
        <w:tc>
          <w:tcPr>
            <w:tcW w:w="8647" w:type="dxa"/>
          </w:tcPr>
          <w:p w14:paraId="64DDE535" w14:textId="7FFDC262" w:rsidR="004A3B93" w:rsidRPr="004A3B93" w:rsidRDefault="004A3B93" w:rsidP="00F1605D">
            <w:pPr>
              <w:pStyle w:val="BodyText"/>
              <w:rPr>
                <w:b/>
                <w:bCs/>
              </w:rPr>
            </w:pPr>
            <w:r>
              <w:t>Sifted in/out</w:t>
            </w:r>
          </w:p>
        </w:tc>
      </w:tr>
      <w:tr w:rsidR="004A3B93" w:rsidRPr="00D97BC9" w14:paraId="6C9F2D24" w14:textId="21803F52" w:rsidTr="00E376F2">
        <w:trPr>
          <w:trHeight w:val="290"/>
        </w:trPr>
        <w:tc>
          <w:tcPr>
            <w:tcW w:w="1276" w:type="dxa"/>
            <w:shd w:val="clear" w:color="auto" w:fill="D3E2FF" w:themeFill="accent4" w:themeFillTint="1A"/>
            <w:noWrap/>
            <w:hideMark/>
          </w:tcPr>
          <w:p w14:paraId="4AEADC63" w14:textId="77777777" w:rsidR="004A3B93" w:rsidRPr="00D97BC9" w:rsidRDefault="004A3B93" w:rsidP="00D97BC9">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1</w:t>
            </w:r>
          </w:p>
        </w:tc>
        <w:tc>
          <w:tcPr>
            <w:tcW w:w="11340" w:type="dxa"/>
            <w:shd w:val="clear" w:color="auto" w:fill="D3E2FF" w:themeFill="accent4" w:themeFillTint="1A"/>
            <w:hideMark/>
          </w:tcPr>
          <w:p w14:paraId="2F15A672" w14:textId="77777777" w:rsidR="004A3B93" w:rsidRPr="00D97BC9" w:rsidRDefault="004A3B93" w:rsidP="00D97BC9">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Providing an evidence base to support data-driven innovation and strategic sustainable investment at scale</w:t>
            </w:r>
          </w:p>
        </w:tc>
        <w:tc>
          <w:tcPr>
            <w:tcW w:w="8647" w:type="dxa"/>
            <w:shd w:val="clear" w:color="auto" w:fill="D3E2FF" w:themeFill="accent4" w:themeFillTint="1A"/>
          </w:tcPr>
          <w:p w14:paraId="5009E67C" w14:textId="77777777" w:rsidR="004A3B93" w:rsidRPr="00D97BC9" w:rsidRDefault="004A3B93" w:rsidP="00D97BC9">
            <w:pPr>
              <w:spacing w:line="240" w:lineRule="auto"/>
              <w:rPr>
                <w:rFonts w:ascii="Calibri" w:eastAsia="Times New Roman" w:hAnsi="Calibri" w:cs="Calibri"/>
                <w:color w:val="000000"/>
                <w:sz w:val="22"/>
                <w:szCs w:val="22"/>
              </w:rPr>
            </w:pPr>
          </w:p>
        </w:tc>
      </w:tr>
      <w:tr w:rsidR="004A3B93" w:rsidRPr="00D97BC9" w14:paraId="1DCC0153" w14:textId="77777777" w:rsidTr="00E376F2">
        <w:trPr>
          <w:trHeight w:val="580"/>
        </w:trPr>
        <w:tc>
          <w:tcPr>
            <w:tcW w:w="1276" w:type="dxa"/>
            <w:noWrap/>
            <w:hideMark/>
          </w:tcPr>
          <w:p w14:paraId="3193B417"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1.1</w:t>
            </w:r>
          </w:p>
        </w:tc>
        <w:tc>
          <w:tcPr>
            <w:tcW w:w="11340" w:type="dxa"/>
            <w:hideMark/>
          </w:tcPr>
          <w:p w14:paraId="0A70B37F"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Develop Edinburgh’s Carbon Scenario Tool (CST) to build capacity for evidence-based decision making and benchmarking across cities.</w:t>
            </w:r>
          </w:p>
        </w:tc>
        <w:tc>
          <w:tcPr>
            <w:tcW w:w="8647" w:type="dxa"/>
          </w:tcPr>
          <w:p w14:paraId="224595D8" w14:textId="2B33D508" w:rsidR="004A3B93" w:rsidRPr="00D97BC9" w:rsidRDefault="004A3B93" w:rsidP="004A3B93">
            <w:pPr>
              <w:spacing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4A3B93" w:rsidRPr="00D97BC9" w14:paraId="4987E413" w14:textId="77777777" w:rsidTr="00E376F2">
        <w:trPr>
          <w:trHeight w:val="290"/>
        </w:trPr>
        <w:tc>
          <w:tcPr>
            <w:tcW w:w="1276" w:type="dxa"/>
            <w:noWrap/>
            <w:hideMark/>
          </w:tcPr>
          <w:p w14:paraId="365B8580"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1.2</w:t>
            </w:r>
          </w:p>
        </w:tc>
        <w:tc>
          <w:tcPr>
            <w:tcW w:w="11340" w:type="dxa"/>
            <w:hideMark/>
          </w:tcPr>
          <w:p w14:paraId="701D49C0"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Ensure population health data drives strategic planning for action on climate change.</w:t>
            </w:r>
          </w:p>
        </w:tc>
        <w:tc>
          <w:tcPr>
            <w:tcW w:w="8647" w:type="dxa"/>
          </w:tcPr>
          <w:p w14:paraId="333CB069" w14:textId="1DC8C38A" w:rsidR="004A3B93" w:rsidRPr="00D97BC9" w:rsidRDefault="004A3B93" w:rsidP="004A3B93">
            <w:pPr>
              <w:spacing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4A3B93" w:rsidRPr="00D97BC9" w14:paraId="41E2E04C" w14:textId="77777777" w:rsidTr="00E376F2">
        <w:trPr>
          <w:trHeight w:val="580"/>
        </w:trPr>
        <w:tc>
          <w:tcPr>
            <w:tcW w:w="1276" w:type="dxa"/>
            <w:noWrap/>
            <w:hideMark/>
          </w:tcPr>
          <w:p w14:paraId="7D4587DD"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1.3</w:t>
            </w:r>
          </w:p>
        </w:tc>
        <w:tc>
          <w:tcPr>
            <w:tcW w:w="11340" w:type="dxa"/>
            <w:hideMark/>
          </w:tcPr>
          <w:p w14:paraId="6F7A16C1"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Harness the city’s intellectual capital to support the development of innovative and financially sustainable interventions to tackle the climate emergency.</w:t>
            </w:r>
          </w:p>
        </w:tc>
        <w:tc>
          <w:tcPr>
            <w:tcW w:w="8647" w:type="dxa"/>
          </w:tcPr>
          <w:p w14:paraId="147D4CF4" w14:textId="0322C043" w:rsidR="004A3B93" w:rsidRPr="00D97BC9" w:rsidRDefault="004A3B93" w:rsidP="004A3B93">
            <w:pPr>
              <w:spacing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4A3B93" w:rsidRPr="00D97BC9" w14:paraId="3F4CB2A8" w14:textId="66AA5447" w:rsidTr="00E376F2">
        <w:trPr>
          <w:trHeight w:val="290"/>
        </w:trPr>
        <w:tc>
          <w:tcPr>
            <w:tcW w:w="1276" w:type="dxa"/>
            <w:shd w:val="clear" w:color="auto" w:fill="D3E2FF" w:themeFill="accent4" w:themeFillTint="1A"/>
            <w:noWrap/>
            <w:hideMark/>
          </w:tcPr>
          <w:p w14:paraId="6B6F4BF1"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2</w:t>
            </w:r>
          </w:p>
        </w:tc>
        <w:tc>
          <w:tcPr>
            <w:tcW w:w="11340" w:type="dxa"/>
            <w:shd w:val="clear" w:color="auto" w:fill="D3E2FF" w:themeFill="accent4" w:themeFillTint="1A"/>
            <w:hideMark/>
          </w:tcPr>
          <w:p w14:paraId="27C157A9"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Developing partnerships for city net zero infrastructure investment</w:t>
            </w:r>
          </w:p>
        </w:tc>
        <w:tc>
          <w:tcPr>
            <w:tcW w:w="8647" w:type="dxa"/>
            <w:shd w:val="clear" w:color="auto" w:fill="D3E2FF" w:themeFill="accent4" w:themeFillTint="1A"/>
          </w:tcPr>
          <w:p w14:paraId="2F700DD9" w14:textId="77777777" w:rsidR="004A3B93" w:rsidRPr="00D97BC9" w:rsidRDefault="004A3B93" w:rsidP="004A3B93">
            <w:pPr>
              <w:spacing w:line="240" w:lineRule="auto"/>
              <w:rPr>
                <w:rFonts w:ascii="Calibri" w:eastAsia="Times New Roman" w:hAnsi="Calibri" w:cs="Calibri"/>
                <w:color w:val="000000"/>
                <w:sz w:val="22"/>
                <w:szCs w:val="22"/>
              </w:rPr>
            </w:pPr>
          </w:p>
        </w:tc>
      </w:tr>
      <w:tr w:rsidR="004A3B93" w:rsidRPr="00D97BC9" w14:paraId="03248149" w14:textId="77777777" w:rsidTr="00E376F2">
        <w:trPr>
          <w:trHeight w:val="870"/>
        </w:trPr>
        <w:tc>
          <w:tcPr>
            <w:tcW w:w="1276" w:type="dxa"/>
            <w:noWrap/>
            <w:hideMark/>
          </w:tcPr>
          <w:p w14:paraId="7C6E9CB6"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2.1</w:t>
            </w:r>
          </w:p>
        </w:tc>
        <w:tc>
          <w:tcPr>
            <w:tcW w:w="11340" w:type="dxa"/>
            <w:hideMark/>
          </w:tcPr>
          <w:p w14:paraId="3A7EEF79"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Establish thematic city partnerships to identify opportunities for collaboration, align investment plans, and develop joint place-based approaches to net zero infrastructure investment in support of a city Green Investment Plan.</w:t>
            </w:r>
          </w:p>
        </w:tc>
        <w:tc>
          <w:tcPr>
            <w:tcW w:w="8647" w:type="dxa"/>
          </w:tcPr>
          <w:p w14:paraId="5916F31A" w14:textId="2E46A677" w:rsidR="004A3B93" w:rsidRPr="00D97BC9" w:rsidRDefault="004A3B93" w:rsidP="004A3B93">
            <w:pPr>
              <w:spacing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4A3B93" w:rsidRPr="00D97BC9" w14:paraId="3FA028BB" w14:textId="5C9C6829" w:rsidTr="00E376F2">
        <w:trPr>
          <w:trHeight w:val="290"/>
        </w:trPr>
        <w:tc>
          <w:tcPr>
            <w:tcW w:w="1276" w:type="dxa"/>
            <w:shd w:val="clear" w:color="auto" w:fill="D3E2FF" w:themeFill="accent4" w:themeFillTint="1A"/>
            <w:noWrap/>
            <w:hideMark/>
          </w:tcPr>
          <w:p w14:paraId="33536DA5"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3</w:t>
            </w:r>
          </w:p>
        </w:tc>
        <w:tc>
          <w:tcPr>
            <w:tcW w:w="11340" w:type="dxa"/>
            <w:shd w:val="clear" w:color="auto" w:fill="D3E2FF" w:themeFill="accent4" w:themeFillTint="1A"/>
            <w:hideMark/>
          </w:tcPr>
          <w:p w14:paraId="22A218DA"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Developing and testing new finance models and scalable tests of change to support innovation</w:t>
            </w:r>
          </w:p>
        </w:tc>
        <w:tc>
          <w:tcPr>
            <w:tcW w:w="8647" w:type="dxa"/>
            <w:shd w:val="clear" w:color="auto" w:fill="D3E2FF" w:themeFill="accent4" w:themeFillTint="1A"/>
          </w:tcPr>
          <w:p w14:paraId="7754CC5A" w14:textId="41F48614" w:rsidR="004A3B93" w:rsidRPr="00D97BC9" w:rsidRDefault="004A3B93" w:rsidP="004A3B93">
            <w:pPr>
              <w:spacing w:line="240" w:lineRule="auto"/>
              <w:rPr>
                <w:rFonts w:ascii="Calibri" w:eastAsia="Times New Roman" w:hAnsi="Calibri" w:cs="Calibri"/>
                <w:color w:val="000000"/>
                <w:sz w:val="22"/>
                <w:szCs w:val="22"/>
              </w:rPr>
            </w:pPr>
          </w:p>
        </w:tc>
      </w:tr>
      <w:tr w:rsidR="004A3B93" w:rsidRPr="00D97BC9" w14:paraId="041684CB" w14:textId="77777777" w:rsidTr="00E376F2">
        <w:trPr>
          <w:trHeight w:val="580"/>
        </w:trPr>
        <w:tc>
          <w:tcPr>
            <w:tcW w:w="1276" w:type="dxa"/>
            <w:noWrap/>
            <w:hideMark/>
          </w:tcPr>
          <w:p w14:paraId="7E4756FC"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3.1</w:t>
            </w:r>
          </w:p>
        </w:tc>
        <w:tc>
          <w:tcPr>
            <w:tcW w:w="11340" w:type="dxa"/>
            <w:hideMark/>
          </w:tcPr>
          <w:p w14:paraId="11E10593"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Develop innovative finance models that share risk and reward and deliver economic and social benefits for Edinburgh’s citizens by exploring, for example, city investment bonds.</w:t>
            </w:r>
          </w:p>
        </w:tc>
        <w:tc>
          <w:tcPr>
            <w:tcW w:w="8647" w:type="dxa"/>
          </w:tcPr>
          <w:p w14:paraId="5D65B4BF" w14:textId="5B9FC86D" w:rsidR="004A3B93" w:rsidRPr="00D97BC9" w:rsidRDefault="004A3B93" w:rsidP="004A3B93">
            <w:pPr>
              <w:spacing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4A3B93" w:rsidRPr="00D97BC9" w14:paraId="533BFF3E" w14:textId="77777777" w:rsidTr="00E376F2">
        <w:trPr>
          <w:trHeight w:val="580"/>
        </w:trPr>
        <w:tc>
          <w:tcPr>
            <w:tcW w:w="1276" w:type="dxa"/>
            <w:noWrap/>
            <w:hideMark/>
          </w:tcPr>
          <w:p w14:paraId="6EF11279"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3.2</w:t>
            </w:r>
          </w:p>
        </w:tc>
        <w:tc>
          <w:tcPr>
            <w:tcW w:w="11340" w:type="dxa"/>
            <w:hideMark/>
          </w:tcPr>
          <w:p w14:paraId="315E902C"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Seek funding to deliver scalable tests of change which use innovative finance models to deliver place-based net zero projects.</w:t>
            </w:r>
          </w:p>
        </w:tc>
        <w:tc>
          <w:tcPr>
            <w:tcW w:w="8647" w:type="dxa"/>
          </w:tcPr>
          <w:p w14:paraId="7EFEC3D9" w14:textId="68E1D474" w:rsidR="004A3B93" w:rsidRPr="00D97BC9" w:rsidRDefault="004A3B93" w:rsidP="004A3B93">
            <w:pPr>
              <w:spacing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4A3B93" w:rsidRPr="00D97BC9" w14:paraId="3301C01E" w14:textId="27A4BFD2" w:rsidTr="00E376F2">
        <w:trPr>
          <w:trHeight w:val="290"/>
        </w:trPr>
        <w:tc>
          <w:tcPr>
            <w:tcW w:w="1276" w:type="dxa"/>
            <w:shd w:val="clear" w:color="auto" w:fill="D3E2FF" w:themeFill="accent4" w:themeFillTint="1A"/>
            <w:noWrap/>
            <w:hideMark/>
          </w:tcPr>
          <w:p w14:paraId="09BBAA3C"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4</w:t>
            </w:r>
          </w:p>
        </w:tc>
        <w:tc>
          <w:tcPr>
            <w:tcW w:w="11340" w:type="dxa"/>
            <w:shd w:val="clear" w:color="auto" w:fill="D3E2FF" w:themeFill="accent4" w:themeFillTint="1A"/>
            <w:hideMark/>
          </w:tcPr>
          <w:p w14:paraId="7F7E8002"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Collaborating to develop a citywide pipeline of green investment proposals and Green Investment Plan</w:t>
            </w:r>
          </w:p>
        </w:tc>
        <w:tc>
          <w:tcPr>
            <w:tcW w:w="8647" w:type="dxa"/>
            <w:shd w:val="clear" w:color="auto" w:fill="D3E2FF" w:themeFill="accent4" w:themeFillTint="1A"/>
          </w:tcPr>
          <w:p w14:paraId="765FA098" w14:textId="77777777" w:rsidR="004A3B93" w:rsidRPr="00D97BC9" w:rsidRDefault="004A3B93" w:rsidP="004A3B93">
            <w:pPr>
              <w:spacing w:line="240" w:lineRule="auto"/>
              <w:rPr>
                <w:rFonts w:ascii="Calibri" w:eastAsia="Times New Roman" w:hAnsi="Calibri" w:cs="Calibri"/>
                <w:color w:val="000000"/>
                <w:sz w:val="22"/>
                <w:szCs w:val="22"/>
              </w:rPr>
            </w:pPr>
          </w:p>
        </w:tc>
      </w:tr>
      <w:tr w:rsidR="004A3B93" w:rsidRPr="00D97BC9" w14:paraId="759082E7" w14:textId="77777777" w:rsidTr="00E376F2">
        <w:trPr>
          <w:trHeight w:val="580"/>
        </w:trPr>
        <w:tc>
          <w:tcPr>
            <w:tcW w:w="1276" w:type="dxa"/>
            <w:noWrap/>
            <w:hideMark/>
          </w:tcPr>
          <w:p w14:paraId="65340E3F"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4.1</w:t>
            </w:r>
          </w:p>
        </w:tc>
        <w:tc>
          <w:tcPr>
            <w:tcW w:w="11340" w:type="dxa"/>
            <w:hideMark/>
          </w:tcPr>
          <w:p w14:paraId="19136E71"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Increase capacity and resources to develop feasibility studies and business cases that enable the development of a pipeline of investible projects.</w:t>
            </w:r>
          </w:p>
        </w:tc>
        <w:tc>
          <w:tcPr>
            <w:tcW w:w="8647" w:type="dxa"/>
          </w:tcPr>
          <w:p w14:paraId="7AD0F288" w14:textId="321F2235" w:rsidR="004A3B93" w:rsidRPr="00D97BC9" w:rsidRDefault="004A3B93" w:rsidP="004A3B93">
            <w:pPr>
              <w:spacing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4A3B93" w:rsidRPr="00D97BC9" w14:paraId="400C6091" w14:textId="77777777" w:rsidTr="00E376F2">
        <w:trPr>
          <w:trHeight w:val="580"/>
        </w:trPr>
        <w:tc>
          <w:tcPr>
            <w:tcW w:w="1276" w:type="dxa"/>
            <w:noWrap/>
            <w:hideMark/>
          </w:tcPr>
          <w:p w14:paraId="43FAC457"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4.2</w:t>
            </w:r>
          </w:p>
        </w:tc>
        <w:tc>
          <w:tcPr>
            <w:tcW w:w="11340" w:type="dxa"/>
            <w:hideMark/>
          </w:tcPr>
          <w:p w14:paraId="064B1128"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Collaborate with green finance experts to support the resourcing and delivery of major city climate projects, beginning with the city Water Vision.</w:t>
            </w:r>
          </w:p>
        </w:tc>
        <w:tc>
          <w:tcPr>
            <w:tcW w:w="8647" w:type="dxa"/>
          </w:tcPr>
          <w:p w14:paraId="051A9194" w14:textId="3C3D7C0A" w:rsidR="004A3B93" w:rsidRPr="00D97BC9" w:rsidRDefault="004A3B93" w:rsidP="004A3B93">
            <w:pPr>
              <w:spacing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4A3B93" w:rsidRPr="00D97BC9" w14:paraId="6F9FE567" w14:textId="77777777" w:rsidTr="00E376F2">
        <w:trPr>
          <w:trHeight w:val="580"/>
        </w:trPr>
        <w:tc>
          <w:tcPr>
            <w:tcW w:w="1276" w:type="dxa"/>
            <w:noWrap/>
            <w:hideMark/>
          </w:tcPr>
          <w:p w14:paraId="35E16FCC"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4.3</w:t>
            </w:r>
          </w:p>
        </w:tc>
        <w:tc>
          <w:tcPr>
            <w:tcW w:w="11340" w:type="dxa"/>
            <w:hideMark/>
          </w:tcPr>
          <w:p w14:paraId="248AA5C6"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Develop a Green Investment Plan and programme for the city, aligning investment and infrastructure proposals to support increased net zero investments in the city.</w:t>
            </w:r>
          </w:p>
        </w:tc>
        <w:tc>
          <w:tcPr>
            <w:tcW w:w="8647" w:type="dxa"/>
          </w:tcPr>
          <w:p w14:paraId="4F54A5F7" w14:textId="42A603ED" w:rsidR="004A3B93" w:rsidRPr="00D97BC9" w:rsidRDefault="004A3B93" w:rsidP="004A3B93">
            <w:pPr>
              <w:spacing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4A3B93" w:rsidRPr="00D97BC9" w14:paraId="0E33E68C" w14:textId="68A800A8" w:rsidTr="00E376F2">
        <w:trPr>
          <w:trHeight w:val="290"/>
        </w:trPr>
        <w:tc>
          <w:tcPr>
            <w:tcW w:w="1276" w:type="dxa"/>
            <w:shd w:val="clear" w:color="auto" w:fill="D3E2FF" w:themeFill="accent4" w:themeFillTint="1A"/>
            <w:noWrap/>
            <w:hideMark/>
          </w:tcPr>
          <w:p w14:paraId="141905D4"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5</w:t>
            </w:r>
          </w:p>
        </w:tc>
        <w:tc>
          <w:tcPr>
            <w:tcW w:w="11340" w:type="dxa"/>
            <w:shd w:val="clear" w:color="auto" w:fill="D3E2FF" w:themeFill="accent4" w:themeFillTint="1A"/>
            <w:hideMark/>
          </w:tcPr>
          <w:p w14:paraId="1F014154"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Delivering place-based net zero investment at scale</w:t>
            </w:r>
          </w:p>
        </w:tc>
        <w:tc>
          <w:tcPr>
            <w:tcW w:w="8647" w:type="dxa"/>
            <w:shd w:val="clear" w:color="auto" w:fill="D3E2FF" w:themeFill="accent4" w:themeFillTint="1A"/>
          </w:tcPr>
          <w:p w14:paraId="102E212C" w14:textId="77777777" w:rsidR="004A3B93" w:rsidRPr="00D97BC9" w:rsidRDefault="004A3B93" w:rsidP="004A3B93">
            <w:pPr>
              <w:spacing w:line="240" w:lineRule="auto"/>
              <w:rPr>
                <w:rFonts w:ascii="Calibri" w:eastAsia="Times New Roman" w:hAnsi="Calibri" w:cs="Calibri"/>
                <w:color w:val="000000"/>
                <w:sz w:val="22"/>
                <w:szCs w:val="22"/>
              </w:rPr>
            </w:pPr>
          </w:p>
        </w:tc>
      </w:tr>
      <w:tr w:rsidR="004A3B93" w:rsidRPr="00D97BC9" w14:paraId="21A1E9B9" w14:textId="77777777" w:rsidTr="00E376F2">
        <w:trPr>
          <w:trHeight w:val="580"/>
        </w:trPr>
        <w:tc>
          <w:tcPr>
            <w:tcW w:w="1276" w:type="dxa"/>
            <w:noWrap/>
            <w:hideMark/>
          </w:tcPr>
          <w:p w14:paraId="782030B8"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5.1</w:t>
            </w:r>
          </w:p>
        </w:tc>
        <w:tc>
          <w:tcPr>
            <w:tcW w:w="11340" w:type="dxa"/>
            <w:hideMark/>
          </w:tcPr>
          <w:p w14:paraId="05F9F4F7"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Develop strategic approaches to mobilising place-based finance for net zero development and investment.</w:t>
            </w:r>
          </w:p>
        </w:tc>
        <w:tc>
          <w:tcPr>
            <w:tcW w:w="8647" w:type="dxa"/>
          </w:tcPr>
          <w:p w14:paraId="2492EE47" w14:textId="4B08EDE5" w:rsidR="004A3B93" w:rsidRPr="00D97BC9" w:rsidRDefault="004A3B93" w:rsidP="004A3B93">
            <w:pPr>
              <w:spacing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4A3B93" w:rsidRPr="00D97BC9" w14:paraId="6E1C3A49" w14:textId="77777777" w:rsidTr="00E376F2">
        <w:trPr>
          <w:trHeight w:val="985"/>
        </w:trPr>
        <w:tc>
          <w:tcPr>
            <w:tcW w:w="1276" w:type="dxa"/>
            <w:noWrap/>
            <w:hideMark/>
          </w:tcPr>
          <w:p w14:paraId="5B902E9B"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5.2</w:t>
            </w:r>
          </w:p>
        </w:tc>
        <w:tc>
          <w:tcPr>
            <w:tcW w:w="11340" w:type="dxa"/>
            <w:hideMark/>
          </w:tcPr>
          <w:p w14:paraId="4558C654"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Call on the Scottish Government to work with public bodies to develop joined-up funding streams to deliver place-based investment at a scale which supports the transition to net zero.</w:t>
            </w:r>
          </w:p>
        </w:tc>
        <w:tc>
          <w:tcPr>
            <w:tcW w:w="8647" w:type="dxa"/>
          </w:tcPr>
          <w:p w14:paraId="3CAF51B5" w14:textId="4EB34268" w:rsidR="004A3B93" w:rsidRPr="00D97BC9" w:rsidRDefault="004A3B93" w:rsidP="004A3B93">
            <w:pPr>
              <w:spacing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4A3B93" w:rsidRPr="00D97BC9" w14:paraId="53386860" w14:textId="77777777" w:rsidTr="00E376F2">
        <w:trPr>
          <w:trHeight w:val="580"/>
        </w:trPr>
        <w:tc>
          <w:tcPr>
            <w:tcW w:w="1276" w:type="dxa"/>
            <w:noWrap/>
            <w:hideMark/>
          </w:tcPr>
          <w:p w14:paraId="4BF4E427"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5.3</w:t>
            </w:r>
          </w:p>
        </w:tc>
        <w:tc>
          <w:tcPr>
            <w:tcW w:w="11340" w:type="dxa"/>
            <w:hideMark/>
          </w:tcPr>
          <w:p w14:paraId="0CE179B9"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Call on Scottish Government to ensure Edinburgh retains the economic benefits flowing from city partner investment in net zero action.</w:t>
            </w:r>
          </w:p>
        </w:tc>
        <w:tc>
          <w:tcPr>
            <w:tcW w:w="8647" w:type="dxa"/>
          </w:tcPr>
          <w:p w14:paraId="35A61D16" w14:textId="0E4C0059" w:rsidR="004A3B93" w:rsidRPr="00D97BC9" w:rsidRDefault="004A3B93" w:rsidP="004A3B93">
            <w:pPr>
              <w:spacing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r w:rsidR="004A3B93" w:rsidRPr="00D97BC9" w14:paraId="1C94F5B0" w14:textId="1E22F602" w:rsidTr="00E376F2">
        <w:trPr>
          <w:trHeight w:val="290"/>
        </w:trPr>
        <w:tc>
          <w:tcPr>
            <w:tcW w:w="1276" w:type="dxa"/>
            <w:shd w:val="clear" w:color="auto" w:fill="D3E2FF" w:themeFill="accent4" w:themeFillTint="1A"/>
            <w:noWrap/>
            <w:hideMark/>
          </w:tcPr>
          <w:p w14:paraId="3DC0022E"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6</w:t>
            </w:r>
          </w:p>
        </w:tc>
        <w:tc>
          <w:tcPr>
            <w:tcW w:w="11340" w:type="dxa"/>
            <w:shd w:val="clear" w:color="auto" w:fill="D3E2FF" w:themeFill="accent4" w:themeFillTint="1A"/>
            <w:hideMark/>
          </w:tcPr>
          <w:p w14:paraId="0A2084D8"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Developing a city-wide approach to dealing with residual emissions</w:t>
            </w:r>
          </w:p>
        </w:tc>
        <w:tc>
          <w:tcPr>
            <w:tcW w:w="8647" w:type="dxa"/>
            <w:shd w:val="clear" w:color="auto" w:fill="D3E2FF" w:themeFill="accent4" w:themeFillTint="1A"/>
          </w:tcPr>
          <w:p w14:paraId="3E446AF1" w14:textId="77777777" w:rsidR="004A3B93" w:rsidRPr="00D97BC9" w:rsidRDefault="004A3B93" w:rsidP="004A3B93">
            <w:pPr>
              <w:spacing w:line="240" w:lineRule="auto"/>
              <w:rPr>
                <w:rFonts w:ascii="Calibri" w:eastAsia="Times New Roman" w:hAnsi="Calibri" w:cs="Calibri"/>
                <w:color w:val="000000"/>
                <w:sz w:val="22"/>
                <w:szCs w:val="22"/>
              </w:rPr>
            </w:pPr>
          </w:p>
        </w:tc>
      </w:tr>
      <w:tr w:rsidR="004A3B93" w:rsidRPr="00D97BC9" w14:paraId="344BF846" w14:textId="77777777" w:rsidTr="00E376F2">
        <w:trPr>
          <w:trHeight w:val="580"/>
        </w:trPr>
        <w:tc>
          <w:tcPr>
            <w:tcW w:w="1276" w:type="dxa"/>
            <w:noWrap/>
            <w:hideMark/>
          </w:tcPr>
          <w:p w14:paraId="19A222A7"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6.1</w:t>
            </w:r>
          </w:p>
        </w:tc>
        <w:tc>
          <w:tcPr>
            <w:tcW w:w="11340" w:type="dxa"/>
            <w:hideMark/>
          </w:tcPr>
          <w:p w14:paraId="7C181F9B" w14:textId="77777777" w:rsidR="004A3B93" w:rsidRPr="00D97BC9" w:rsidRDefault="004A3B93" w:rsidP="004A3B93">
            <w:pPr>
              <w:spacing w:line="240" w:lineRule="auto"/>
              <w:rPr>
                <w:rFonts w:ascii="Calibri" w:eastAsia="Times New Roman" w:hAnsi="Calibri" w:cs="Calibri"/>
                <w:color w:val="000000"/>
                <w:sz w:val="22"/>
                <w:szCs w:val="22"/>
              </w:rPr>
            </w:pPr>
            <w:r w:rsidRPr="00D97BC9">
              <w:rPr>
                <w:rFonts w:ascii="Calibri" w:eastAsia="Times New Roman" w:hAnsi="Calibri" w:cs="Calibri"/>
                <w:color w:val="000000"/>
                <w:sz w:val="22"/>
                <w:szCs w:val="22"/>
              </w:rPr>
              <w:t>Develop a city-wide approach to off-setting residual emissions in support of achieving net zero by 2030.</w:t>
            </w:r>
          </w:p>
        </w:tc>
        <w:tc>
          <w:tcPr>
            <w:tcW w:w="8647" w:type="dxa"/>
          </w:tcPr>
          <w:p w14:paraId="1F5B27E2" w14:textId="2A23F386" w:rsidR="004A3B93" w:rsidRPr="00D97BC9" w:rsidRDefault="004A3B93" w:rsidP="004A3B93">
            <w:pPr>
              <w:spacing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In</w:t>
            </w:r>
          </w:p>
        </w:tc>
      </w:tr>
    </w:tbl>
    <w:p w14:paraId="18CC40FF" w14:textId="77777777" w:rsidR="00B57DAA" w:rsidRPr="000B3A2A" w:rsidRDefault="00B57DAA" w:rsidP="000B3A2A">
      <w:pPr>
        <w:pStyle w:val="BodyText"/>
      </w:pPr>
    </w:p>
    <w:sectPr w:rsidR="00B57DAA" w:rsidRPr="000B3A2A" w:rsidSect="00131DAB">
      <w:pgSz w:w="23811" w:h="16838" w:orient="landscape" w:code="8"/>
      <w:pgMar w:top="1134" w:right="1134" w:bottom="1134" w:left="567"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992C8" w14:textId="77777777" w:rsidR="003A2A92" w:rsidRDefault="003A2A92" w:rsidP="00066DE7">
      <w:r>
        <w:separator/>
      </w:r>
    </w:p>
    <w:p w14:paraId="6E10E4CF" w14:textId="77777777" w:rsidR="003A2A92" w:rsidRDefault="003A2A92"/>
  </w:endnote>
  <w:endnote w:type="continuationSeparator" w:id="0">
    <w:p w14:paraId="02245988" w14:textId="77777777" w:rsidR="003A2A92" w:rsidRDefault="003A2A92" w:rsidP="00066DE7">
      <w:r>
        <w:continuationSeparator/>
      </w:r>
    </w:p>
    <w:p w14:paraId="478B6875" w14:textId="77777777" w:rsidR="003A2A92" w:rsidRDefault="003A2A92"/>
    <w:p w14:paraId="4A33373C" w14:textId="77777777" w:rsidR="003A2A92" w:rsidRDefault="003A2A92"/>
    <w:p w14:paraId="29DAC467" w14:textId="77777777" w:rsidR="003A2A92" w:rsidRDefault="003A2A92"/>
    <w:p w14:paraId="48AD6175" w14:textId="77777777" w:rsidR="003A2A92" w:rsidRDefault="003A2A92"/>
    <w:p w14:paraId="3E80AEA1" w14:textId="77777777" w:rsidR="003A2A92" w:rsidRDefault="003A2A92"/>
    <w:p w14:paraId="69B82A42" w14:textId="77777777" w:rsidR="003A2A92" w:rsidRDefault="003A2A92"/>
    <w:p w14:paraId="593A02A9" w14:textId="77777777" w:rsidR="003A2A92" w:rsidRDefault="003A2A92"/>
    <w:p w14:paraId="218501AF" w14:textId="77777777" w:rsidR="003A2A92" w:rsidRDefault="003A2A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Jacobs Chronos">
    <w:panose1 w:val="020B0603030503030204"/>
    <w:charset w:val="00"/>
    <w:family w:val="swiss"/>
    <w:pitch w:val="variable"/>
    <w:sig w:usb0="A00000EF" w:usb1="0000E0EB" w:usb2="00000008" w:usb3="00000000" w:csb0="00000001" w:csb1="00000000"/>
    <w:embedRegular r:id="rId1" w:fontKey="{3A9BAFF7-B8F9-4B7F-B55B-C97AFC3D4C3A}"/>
    <w:embedBold r:id="rId2" w:fontKey="{D48C104E-1D19-467E-BC18-FF517E0C0FE2}"/>
    <w:embedItalic r:id="rId3" w:fontKey="{95BA474A-AAF6-4E1F-BD9D-998D36F8EC75}"/>
    <w:embedBoldItalic r:id="rId4" w:fontKey="{A911AF57-7E85-4E95-9FD2-117BD6CE74CF}"/>
  </w:font>
  <w:font w:name="Times New Roman">
    <w:panose1 w:val="02020603050405020304"/>
    <w:charset w:val="00"/>
    <w:family w:val="roman"/>
    <w:pitch w:val="variable"/>
    <w:sig w:usb0="E0002EFF" w:usb1="C000785B" w:usb2="00000009" w:usb3="00000000" w:csb0="000001FF" w:csb1="00000000"/>
  </w:font>
  <w:font w:name="Jacobs Chronos Light">
    <w:panose1 w:val="020B0403030503030204"/>
    <w:charset w:val="00"/>
    <w:family w:val="swiss"/>
    <w:pitch w:val="variable"/>
    <w:sig w:usb0="A00000EF" w:usb1="0000E0EB" w:usb2="00000008" w:usb3="00000000" w:csb0="00000001" w:csb1="00000000"/>
    <w:embedRegular r:id="rId5" w:fontKey="{9C0CB5F2-DFD5-4851-BE8B-F755497F345E}"/>
    <w:embedBold r:id="rId6" w:fontKey="{456591CF-06B8-4041-A967-AD40E1777900}"/>
    <w:embedItalic r:id="rId7" w:fontKey="{246D05AB-C6DF-4E2E-9F3C-7220E9FF7271}"/>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7F1D040D-9E4D-4571-A04C-3441853CED5C}"/>
    <w:embedBold r:id="rId9" w:fontKey="{2A35AFDF-3DDC-4584-A558-EDDD8BE86270}"/>
    <w:embedItalic r:id="rId10" w:fontKey="{816C48F8-51C0-4CC9-B352-3AF4D38EFD73}"/>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1" w:fontKey="{F2327BD2-8392-4BDB-81E5-8D8A281DAF1C}"/>
  </w:font>
  <w:font w:name="Consolas">
    <w:panose1 w:val="020B0609020204030204"/>
    <w:charset w:val="00"/>
    <w:family w:val="modern"/>
    <w:pitch w:val="fixed"/>
    <w:sig w:usb0="E00006FF" w:usb1="0000FCFF" w:usb2="00000001" w:usb3="00000000" w:csb0="0000019F" w:csb1="00000000"/>
    <w:embedRegular r:id="rId12" w:fontKey="{C48E1F71-3BAC-4E7F-93EC-6578149BA271}"/>
  </w:font>
  <w:font w:name="Tahoma">
    <w:panose1 w:val="020B0604030504040204"/>
    <w:charset w:val="00"/>
    <w:family w:val="swiss"/>
    <w:pitch w:val="variable"/>
    <w:sig w:usb0="E1002EFF" w:usb1="C000605B" w:usb2="00000029" w:usb3="00000000" w:csb0="000101FF" w:csb1="00000000"/>
    <w:embedRegular r:id="rId13" w:fontKey="{7D285B21-F780-492B-AA67-6AFAD23F42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CEC8D" w14:textId="77777777" w:rsidR="003154FF" w:rsidRDefault="003154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EB6A0" w14:textId="77777777" w:rsidR="003154FF" w:rsidRDefault="003154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2486D" w14:textId="77777777" w:rsidR="003154FF" w:rsidRDefault="003154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18015"/>
      <w:gridCol w:w="4095"/>
    </w:tblGrid>
    <w:tr w:rsidR="00704ADC" w14:paraId="2F959BA6" w14:textId="77777777" w:rsidTr="00961D5A">
      <w:trPr>
        <w:trHeight w:val="170"/>
      </w:trPr>
      <w:tc>
        <w:tcPr>
          <w:tcW w:w="4074" w:type="pct"/>
          <w:tcBorders>
            <w:top w:val="nil"/>
            <w:bottom w:val="single" w:sz="2" w:space="0" w:color="231EDC" w:themeColor="accent1"/>
          </w:tcBorders>
          <w:tcMar>
            <w:top w:w="0" w:type="dxa"/>
            <w:left w:w="0" w:type="dxa"/>
            <w:right w:w="0" w:type="dxa"/>
          </w:tcMar>
          <w:vAlign w:val="center"/>
        </w:tcPr>
        <w:p w14:paraId="06CFDB34" w14:textId="77777777" w:rsidR="00704ADC" w:rsidRDefault="00704ADC" w:rsidP="000328FC">
          <w:pPr>
            <w:pStyle w:val="Footer"/>
            <w:ind w:right="568"/>
          </w:pPr>
        </w:p>
      </w:tc>
      <w:tc>
        <w:tcPr>
          <w:tcW w:w="926" w:type="pct"/>
          <w:tcBorders>
            <w:top w:val="nil"/>
            <w:bottom w:val="single" w:sz="2" w:space="0" w:color="231EDC" w:themeColor="accent1"/>
          </w:tcBorders>
          <w:tcMar>
            <w:top w:w="0" w:type="dxa"/>
            <w:right w:w="0" w:type="dxa"/>
          </w:tcMar>
          <w:vAlign w:val="center"/>
        </w:tcPr>
        <w:p w14:paraId="6F19105C" w14:textId="77777777" w:rsidR="00704ADC" w:rsidRPr="00C36AD8" w:rsidRDefault="00704ADC" w:rsidP="000328FC">
          <w:pPr>
            <w:pStyle w:val="Footer"/>
            <w:ind w:left="3131" w:hanging="3131"/>
            <w:jc w:val="right"/>
            <w:rPr>
              <w:sz w:val="22"/>
            </w:rPr>
          </w:pPr>
        </w:p>
      </w:tc>
    </w:tr>
    <w:tr w:rsidR="00704ADC" w:rsidRPr="00360972" w14:paraId="789784FA" w14:textId="77777777" w:rsidTr="00ED7BC5">
      <w:trPr>
        <w:trHeight w:val="737"/>
      </w:trPr>
      <w:tc>
        <w:tcPr>
          <w:tcW w:w="4074" w:type="pct"/>
          <w:tcBorders>
            <w:top w:val="single" w:sz="2" w:space="0" w:color="231EDC" w:themeColor="accent1"/>
          </w:tcBorders>
          <w:tcMar>
            <w:top w:w="113" w:type="dxa"/>
            <w:left w:w="0" w:type="dxa"/>
            <w:right w:w="0" w:type="dxa"/>
          </w:tcMar>
        </w:tcPr>
        <w:p w14:paraId="1980FD75" w14:textId="6630AD62" w:rsidR="00704ADC" w:rsidRDefault="00704ADC" w:rsidP="00FC5F07">
          <w:pPr>
            <w:pStyle w:val="Footer"/>
          </w:pPr>
        </w:p>
      </w:tc>
      <w:tc>
        <w:tcPr>
          <w:tcW w:w="926" w:type="pct"/>
          <w:tcBorders>
            <w:top w:val="single" w:sz="2" w:space="0" w:color="231EDC" w:themeColor="accent1"/>
          </w:tcBorders>
          <w:tcMar>
            <w:top w:w="113" w:type="dxa"/>
            <w:right w:w="0" w:type="dxa"/>
          </w:tcMar>
        </w:tcPr>
        <w:p w14:paraId="0488364B" w14:textId="77777777" w:rsidR="00704ADC" w:rsidRPr="00661DA6" w:rsidRDefault="00704ADC" w:rsidP="000328FC">
          <w:pPr>
            <w:pStyle w:val="Footer"/>
            <w:jc w:val="right"/>
          </w:pPr>
          <w:r>
            <w:fldChar w:fldCharType="begin"/>
          </w:r>
          <w:r>
            <w:instrText xml:space="preserve"> PAGE   \* MERGEFORMAT </w:instrText>
          </w:r>
          <w:r>
            <w:fldChar w:fldCharType="separate"/>
          </w:r>
          <w:r>
            <w:t>1</w:t>
          </w:r>
          <w:r>
            <w:rPr>
              <w:noProof/>
            </w:rPr>
            <w:fldChar w:fldCharType="end"/>
          </w:r>
        </w:p>
      </w:tc>
    </w:tr>
  </w:tbl>
  <w:p w14:paraId="67D571B0" w14:textId="77777777" w:rsidR="00704ADC" w:rsidRPr="006902C0" w:rsidRDefault="00704ADC" w:rsidP="000328FC">
    <w:pPr>
      <w:pStyle w:val="Header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955D5" w14:textId="77777777" w:rsidR="003A2A92" w:rsidRDefault="003A2A92" w:rsidP="00066DE7">
      <w:r>
        <w:separator/>
      </w:r>
    </w:p>
    <w:p w14:paraId="68BEBECB" w14:textId="77777777" w:rsidR="003A2A92" w:rsidRDefault="003A2A92"/>
  </w:footnote>
  <w:footnote w:type="continuationSeparator" w:id="0">
    <w:p w14:paraId="3A3EF2DA" w14:textId="77777777" w:rsidR="003A2A92" w:rsidRDefault="003A2A92" w:rsidP="00066DE7">
      <w:r>
        <w:continuationSeparator/>
      </w:r>
    </w:p>
    <w:p w14:paraId="1BF7673F" w14:textId="77777777" w:rsidR="003A2A92" w:rsidRDefault="003A2A92"/>
    <w:p w14:paraId="7D408B63" w14:textId="77777777" w:rsidR="003A2A92" w:rsidRDefault="003A2A92"/>
    <w:p w14:paraId="30305B50" w14:textId="77777777" w:rsidR="003A2A92" w:rsidRDefault="003A2A92"/>
    <w:p w14:paraId="4A2BD9C3" w14:textId="77777777" w:rsidR="003A2A92" w:rsidRDefault="003A2A92"/>
    <w:p w14:paraId="0F4DF58B" w14:textId="77777777" w:rsidR="003A2A92" w:rsidRDefault="003A2A92"/>
    <w:p w14:paraId="3CD197F5" w14:textId="77777777" w:rsidR="003A2A92" w:rsidRDefault="003A2A92"/>
    <w:p w14:paraId="4FBF7043" w14:textId="77777777" w:rsidR="003A2A92" w:rsidRDefault="003A2A92"/>
    <w:p w14:paraId="7E42A782" w14:textId="77777777" w:rsidR="003A2A92" w:rsidRDefault="003A2A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14693" w14:textId="77777777" w:rsidR="00372B54" w:rsidRDefault="00372B54" w:rsidP="002A0C7E">
    <w:r>
      <w:rPr>
        <w:noProof/>
      </w:rPr>
      <w:drawing>
        <wp:inline distT="0" distB="0" distL="0" distR="0" wp14:anchorId="5CD386A1" wp14:editId="39E0A93A">
          <wp:extent cx="1371600" cy="32110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cobs_logo_rgb_BL.emf"/>
                  <pic:cNvPicPr/>
                </pic:nvPicPr>
                <pic:blipFill>
                  <a:blip r:embed="rId1">
                    <a:extLst>
                      <a:ext uri="{28A0092B-C50C-407E-A947-70E740481C1C}">
                        <a14:useLocalDpi xmlns:a14="http://schemas.microsoft.com/office/drawing/2010/main" val="0"/>
                      </a:ext>
                    </a:extLst>
                  </a:blip>
                  <a:stretch>
                    <a:fillRect/>
                  </a:stretch>
                </pic:blipFill>
                <pic:spPr>
                  <a:xfrm>
                    <a:off x="0" y="0"/>
                    <a:ext cx="1371600" cy="32110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FAC94" w14:textId="77777777" w:rsidR="003154FF" w:rsidRDefault="003154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453E8" w14:textId="77777777" w:rsidR="00372B54" w:rsidRDefault="00A30B01" w:rsidP="000328FC">
    <w:pPr>
      <w:pStyle w:val="Header"/>
      <w:tabs>
        <w:tab w:val="left" w:pos="3829"/>
        <w:tab w:val="left" w:pos="4150"/>
      </w:tabs>
      <w:jc w:val="right"/>
    </w:pPr>
    <w:r>
      <w:rPr>
        <w:noProof/>
      </w:rPr>
      <w:drawing>
        <wp:inline distT="0" distB="0" distL="0" distR="0" wp14:anchorId="7AC8EEA2" wp14:editId="0977B185">
          <wp:extent cx="1978152" cy="457200"/>
          <wp:effectExtent l="0" t="0" r="3175" b="0"/>
          <wp:docPr id="3" name="Picture 3" descr="Brand Cover Logo"/>
          <wp:cNvGraphicFramePr/>
          <a:graphic xmlns:a="http://schemas.openxmlformats.org/drawingml/2006/main">
            <a:graphicData uri="http://schemas.openxmlformats.org/drawingml/2006/picture">
              <pic:pic xmlns:pic="http://schemas.openxmlformats.org/drawingml/2006/picture">
                <pic:nvPicPr>
                  <pic:cNvPr id="6" name="Picture 6" descr="Brand Cover Logo"/>
                  <pic:cNvPicPr/>
                </pic:nvPicPr>
                <pic:blipFill>
                  <a:blip r:embed="rId1">
                    <a:extLst>
                      <a:ext uri="{28A0092B-C50C-407E-A947-70E740481C1C}">
                        <a14:useLocalDpi xmlns:a14="http://schemas.microsoft.com/office/drawing/2010/main" val="0"/>
                      </a:ext>
                    </a:extLst>
                  </a:blip>
                  <a:stretch>
                    <a:fillRect/>
                  </a:stretch>
                </pic:blipFill>
                <pic:spPr>
                  <a:xfrm>
                    <a:off x="0" y="0"/>
                    <a:ext cx="1978152" cy="457200"/>
                  </a:xfrm>
                  <a:prstGeom prst="rect">
                    <a:avLst/>
                  </a:prstGeom>
                </pic:spPr>
              </pic:pic>
            </a:graphicData>
          </a:graphic>
        </wp:inline>
      </w:drawing>
    </w:r>
  </w:p>
  <w:p w14:paraId="1A83D17C" w14:textId="77777777" w:rsidR="00372B54" w:rsidRDefault="00372B54" w:rsidP="00D676D9">
    <w:pPr>
      <w:pStyle w:val="Header"/>
      <w:tabs>
        <w:tab w:val="left" w:pos="4150"/>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22110"/>
    </w:tblGrid>
    <w:tr w:rsidR="00704ADC" w14:paraId="7B2F4A38" w14:textId="77777777" w:rsidTr="003D4237">
      <w:trPr>
        <w:trHeight w:val="851"/>
      </w:trPr>
      <w:tc>
        <w:tcPr>
          <w:tcW w:w="5000" w:type="pct"/>
          <w:tcMar>
            <w:left w:w="0" w:type="dxa"/>
          </w:tcMar>
          <w:vAlign w:val="bottom"/>
        </w:tcPr>
        <w:p w14:paraId="7BFEDB48" w14:textId="793F254A" w:rsidR="00704ADC" w:rsidRPr="00934315" w:rsidRDefault="00E376F2" w:rsidP="000328FC">
          <w:pPr>
            <w:pStyle w:val="Header"/>
          </w:pPr>
          <w:sdt>
            <w:sdtPr>
              <w:alias w:val="Document title"/>
              <w:tag w:val="Document title"/>
              <w:id w:val="332272327"/>
              <w:placeholder>
                <w:docPart w:val="AE8CE385582742EEA6234D8A2E696619"/>
              </w:placeholder>
              <w:dataBinding w:xpath="/*[local-name()='root']/*[local-name()='DocumentTitle']" w:storeItemID="{8F33FB8F-8118-4915-86A8-F93B7C2B254E}"/>
              <w:text/>
            </w:sdtPr>
            <w:sdtEndPr/>
            <w:sdtContent>
              <w:r w:rsidR="00A30B01">
                <w:t xml:space="preserve">Strategic Environmental Assessment </w:t>
              </w:r>
              <w:r w:rsidR="00BB3305">
                <w:t>Environmental</w:t>
              </w:r>
              <w:r w:rsidR="00A30B01">
                <w:t xml:space="preserve"> Report</w:t>
              </w:r>
              <w:r w:rsidR="003154FF">
                <w:t xml:space="preserve"> Appendix D</w:t>
              </w:r>
            </w:sdtContent>
          </w:sdt>
        </w:p>
      </w:tc>
    </w:tr>
  </w:tbl>
  <w:p w14:paraId="603F4A4A" w14:textId="610BD6AD" w:rsidR="00704ADC" w:rsidRPr="00E52712" w:rsidRDefault="00704ADC" w:rsidP="000328FC">
    <w:pPr>
      <w:pStyle w:val="HeaderSpac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3EA8"/>
    <w:multiLevelType w:val="multilevel"/>
    <w:tmpl w:val="F5124A34"/>
    <w:numStyleLink w:val="JacobsTableNumbersList"/>
  </w:abstractNum>
  <w:abstractNum w:abstractNumId="1" w15:restartNumberingAfterBreak="0">
    <w:nsid w:val="04A262C1"/>
    <w:multiLevelType w:val="multilevel"/>
    <w:tmpl w:val="2DE4E372"/>
    <w:styleLink w:val="JacobsSequential111Format"/>
    <w:lvl w:ilvl="0">
      <w:start w:val="1"/>
      <w:numFmt w:val="decimal"/>
      <w:lvlText w:val="%1."/>
      <w:lvlJc w:val="left"/>
      <w:pPr>
        <w:ind w:left="1134" w:hanging="1134"/>
      </w:pPr>
      <w:rPr>
        <w:rFonts w:ascii="Jacobs Chronos" w:hAnsi="Jacobs Chronos" w:hint="default"/>
        <w:b/>
        <w:i w:val="0"/>
        <w:sz w:val="32"/>
      </w:rPr>
    </w:lvl>
    <w:lvl w:ilvl="1">
      <w:start w:val="1"/>
      <w:numFmt w:val="decimal"/>
      <w:lvlText w:val="%1.%2"/>
      <w:lvlJc w:val="left"/>
      <w:pPr>
        <w:ind w:left="1134" w:hanging="1134"/>
      </w:pPr>
      <w:rPr>
        <w:rFonts w:ascii="Jacobs Chronos" w:hAnsi="Jacobs Chronos" w:hint="default"/>
        <w:b/>
        <w:i w:val="0"/>
        <w:sz w:val="30"/>
      </w:rPr>
    </w:lvl>
    <w:lvl w:ilvl="2">
      <w:start w:val="1"/>
      <w:numFmt w:val="decimal"/>
      <w:lvlRestart w:val="1"/>
      <w:lvlText w:val="%1.%2.%3"/>
      <w:lvlJc w:val="left"/>
      <w:pPr>
        <w:ind w:left="1134" w:hanging="1134"/>
      </w:pPr>
      <w:rPr>
        <w:rFonts w:ascii="Jacobs Chronos" w:hAnsi="Jacobs Chronos" w:hint="default"/>
        <w:b/>
        <w:i w:val="0"/>
        <w:sz w:val="28"/>
      </w:rPr>
    </w:lvl>
    <w:lvl w:ilvl="3">
      <w:start w:val="1"/>
      <w:numFmt w:val="decimal"/>
      <w:lvlText w:val="%1.%2.%3.%4"/>
      <w:lvlJc w:val="left"/>
      <w:pPr>
        <w:ind w:left="1134" w:hanging="1134"/>
      </w:pPr>
      <w:rPr>
        <w:rFonts w:ascii="Jacobs Chronos Light" w:hAnsi="Jacobs Chronos Light" w:hint="default"/>
        <w:b/>
        <w:i w:val="0"/>
        <w:sz w:val="26"/>
      </w:rPr>
    </w:lvl>
    <w:lvl w:ilvl="4">
      <w:start w:val="1"/>
      <w:numFmt w:val="decimal"/>
      <w:lvlText w:val="%1.%2.%3.%4.%5"/>
      <w:lvlJc w:val="left"/>
      <w:pPr>
        <w:ind w:left="1134" w:hanging="1134"/>
      </w:pPr>
      <w:rPr>
        <w:rFonts w:ascii="Jacobs Chronos Light" w:hAnsi="Jacobs Chronos Light" w:hint="default"/>
        <w:b/>
        <w:i w:val="0"/>
        <w:sz w:val="24"/>
      </w:rPr>
    </w:lvl>
    <w:lvl w:ilvl="5">
      <w:start w:val="1"/>
      <w:numFmt w:val="decimal"/>
      <w:lvlText w:val="%1.%2.%3.%4.%5.%6"/>
      <w:lvlJc w:val="left"/>
      <w:pPr>
        <w:ind w:left="1134" w:hanging="1134"/>
      </w:pPr>
      <w:rPr>
        <w:rFonts w:ascii="Jacobs Chronos Light" w:hAnsi="Jacobs Chronos Light" w:hint="default"/>
        <w:b/>
        <w:i w:val="0"/>
        <w:sz w:val="22"/>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9."/>
      <w:lvlJc w:val="left"/>
      <w:pPr>
        <w:ind w:left="1134" w:hanging="1134"/>
      </w:pPr>
      <w:rPr>
        <w:rFonts w:hint="default"/>
        <w:b/>
        <w:i w:val="0"/>
        <w:color w:val="auto"/>
        <w:sz w:val="32"/>
      </w:rPr>
    </w:lvl>
  </w:abstractNum>
  <w:abstractNum w:abstractNumId="2" w15:restartNumberingAfterBreak="0">
    <w:nsid w:val="07CE24F7"/>
    <w:multiLevelType w:val="multilevel"/>
    <w:tmpl w:val="E9E46496"/>
    <w:styleLink w:val="TableBullets"/>
    <w:lvl w:ilvl="0">
      <w:start w:val="1"/>
      <w:numFmt w:val="bullet"/>
      <w:lvlText w:val=""/>
      <w:lvlJc w:val="left"/>
      <w:pPr>
        <w:ind w:left="284" w:hanging="284"/>
      </w:pPr>
      <w:rPr>
        <w:rFonts w:ascii="Wingdings" w:hAnsi="Wingdings" w:cs="Times New Roman" w:hint="default"/>
      </w:rPr>
    </w:lvl>
    <w:lvl w:ilvl="1">
      <w:start w:val="1"/>
      <w:numFmt w:val="bullet"/>
      <w:lvlText w:val="-"/>
      <w:lvlJc w:val="left"/>
      <w:pPr>
        <w:ind w:left="567" w:hanging="283"/>
      </w:pPr>
      <w:rPr>
        <w:rFonts w:ascii="Arial" w:hAnsi="Arial" w:cs="Arial" w:hint="default"/>
      </w:rPr>
    </w:lvl>
    <w:lvl w:ilvl="2">
      <w:start w:val="1"/>
      <w:numFmt w:val="bullet"/>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982D84"/>
    <w:multiLevelType w:val="multilevel"/>
    <w:tmpl w:val="F5124A34"/>
    <w:styleLink w:val="JacobsTableNumbersList"/>
    <w:lvl w:ilvl="0">
      <w:start w:val="1"/>
      <w:numFmt w:val="decimal"/>
      <w:pStyle w:val="TableText1Number"/>
      <w:lvlText w:val="%1."/>
      <w:lvlJc w:val="left"/>
      <w:pPr>
        <w:ind w:left="284" w:hanging="284"/>
      </w:pPr>
      <w:rPr>
        <w:rFonts w:asciiTheme="minorHAnsi" w:hAnsiTheme="minorHAnsi" w:hint="default"/>
        <w:b w:val="0"/>
        <w:i w:val="0"/>
        <w:color w:val="auto"/>
        <w:sz w:val="18"/>
      </w:rPr>
    </w:lvl>
    <w:lvl w:ilvl="1">
      <w:start w:val="1"/>
      <w:numFmt w:val="lowerLetter"/>
      <w:pStyle w:val="TableText2Letter"/>
      <w:lvlText w:val="%2. "/>
      <w:lvlJc w:val="left"/>
      <w:pPr>
        <w:tabs>
          <w:tab w:val="num" w:pos="284"/>
        </w:tabs>
        <w:ind w:left="567" w:hanging="283"/>
      </w:pPr>
      <w:rPr>
        <w:rFonts w:asciiTheme="minorHAnsi" w:hAnsiTheme="minorHAnsi" w:hint="default"/>
        <w:b w:val="0"/>
        <w:i w:val="0"/>
        <w:color w:val="auto"/>
        <w:sz w:val="18"/>
      </w:rPr>
    </w:lvl>
    <w:lvl w:ilvl="2">
      <w:start w:val="1"/>
      <w:numFmt w:val="lowerRoman"/>
      <w:pStyle w:val="TableText3Roman"/>
      <w:lvlText w:val="%3"/>
      <w:lvlJc w:val="left"/>
      <w:pPr>
        <w:tabs>
          <w:tab w:val="num" w:pos="567"/>
        </w:tabs>
        <w:ind w:left="851" w:hanging="284"/>
      </w:pPr>
      <w:rPr>
        <w:rFonts w:asciiTheme="minorHAnsi" w:hAnsiTheme="minorHAnsi" w:hint="default"/>
        <w:b w:val="0"/>
        <w:i w:val="0"/>
        <w:sz w:val="18"/>
      </w:rPr>
    </w:lvl>
    <w:lvl w:ilvl="3">
      <w:start w:val="1"/>
      <w:numFmt w:val="none"/>
      <w:lvlText w:val=""/>
      <w:lvlJc w:val="left"/>
      <w:pPr>
        <w:ind w:left="0" w:firstLine="0"/>
      </w:pPr>
      <w:rPr>
        <w:rFonts w:asciiTheme="minorHAnsi" w:hAnsiTheme="minorHAnsi" w:hint="default"/>
        <w:b w:val="0"/>
        <w:i w:val="0"/>
        <w:sz w:val="20"/>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 w15:restartNumberingAfterBreak="0">
    <w:nsid w:val="0B4C097B"/>
    <w:multiLevelType w:val="multilevel"/>
    <w:tmpl w:val="6D0608D6"/>
    <w:styleLink w:val="JacobsSingleSequentialList"/>
    <w:lvl w:ilvl="0">
      <w:start w:val="1"/>
      <w:numFmt w:val="decimal"/>
      <w:lvlText w:val="%1."/>
      <w:lvlJc w:val="left"/>
      <w:pPr>
        <w:ind w:left="851" w:hanging="851"/>
      </w:pPr>
      <w:rPr>
        <w:rFonts w:asciiTheme="majorHAnsi" w:hAnsiTheme="majorHAnsi" w:hint="default"/>
        <w:sz w:val="20"/>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5" w15:restartNumberingAfterBreak="0">
    <w:nsid w:val="0BCE067D"/>
    <w:multiLevelType w:val="multilevel"/>
    <w:tmpl w:val="8E7A81B4"/>
    <w:styleLink w:val="JacobsParagraphLevels"/>
    <w:lvl w:ilvl="0">
      <w:start w:val="1"/>
      <w:numFmt w:val="decimal"/>
      <w:lvlText w:val="%1."/>
      <w:lvlJc w:val="left"/>
      <w:pPr>
        <w:ind w:left="357" w:hanging="357"/>
      </w:pPr>
      <w:rPr>
        <w:rFonts w:hint="default"/>
        <w:b w:val="0"/>
        <w:i w:val="0"/>
        <w:color w:val="auto"/>
        <w:sz w:val="20"/>
      </w:rPr>
    </w:lvl>
    <w:lvl w:ilvl="1">
      <w:start w:val="1"/>
      <w:numFmt w:val="lowerLetter"/>
      <w:lvlText w:val="%2."/>
      <w:lvlJc w:val="left"/>
      <w:pPr>
        <w:ind w:left="714" w:hanging="357"/>
      </w:pPr>
      <w:rPr>
        <w:rFonts w:asciiTheme="majorHAnsi" w:hAnsiTheme="majorHAnsi" w:hint="default"/>
        <w:b w:val="0"/>
        <w:i w:val="0"/>
        <w:sz w:val="20"/>
      </w:rPr>
    </w:lvl>
    <w:lvl w:ilvl="2">
      <w:start w:val="1"/>
      <w:numFmt w:val="lowerRoman"/>
      <w:lvlText w:val="%3."/>
      <w:lvlJc w:val="left"/>
      <w:pPr>
        <w:tabs>
          <w:tab w:val="num" w:pos="714"/>
        </w:tabs>
        <w:ind w:left="1072" w:hanging="358"/>
      </w:pPr>
      <w:rPr>
        <w:rFonts w:asciiTheme="majorHAnsi" w:hAnsiTheme="majorHAnsi" w:hint="default"/>
        <w:b w:val="0"/>
        <w:i w:val="0"/>
        <w:sz w:val="20"/>
      </w:rPr>
    </w:lvl>
    <w:lvl w:ilvl="3">
      <w:start w:val="1"/>
      <w:numFmt w:val="decimal"/>
      <w:lvlText w:val="%4)"/>
      <w:lvlJc w:val="left"/>
      <w:pPr>
        <w:tabs>
          <w:tab w:val="num" w:pos="1072"/>
        </w:tabs>
        <w:ind w:left="1429" w:hanging="357"/>
      </w:pPr>
      <w:rPr>
        <w:rFonts w:asciiTheme="majorHAnsi" w:hAnsiTheme="majorHAnsi" w:hint="default"/>
        <w:b w:val="0"/>
        <w:i w:val="0"/>
        <w:sz w:val="20"/>
      </w:rPr>
    </w:lvl>
    <w:lvl w:ilvl="4">
      <w:start w:val="1"/>
      <w:numFmt w:val="none"/>
      <w:lvlText w:val=""/>
      <w:lvlJc w:val="left"/>
      <w:pPr>
        <w:ind w:left="284" w:hanging="284"/>
      </w:pPr>
      <w:rPr>
        <w:rFonts w:hint="default"/>
      </w:rPr>
    </w:lvl>
    <w:lvl w:ilvl="5">
      <w:start w:val="1"/>
      <w:numFmt w:val="none"/>
      <w:lvlText w:val=" "/>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6" w15:restartNumberingAfterBreak="0">
    <w:nsid w:val="0BE73C3E"/>
    <w:multiLevelType w:val="multilevel"/>
    <w:tmpl w:val="808E483A"/>
    <w:styleLink w:val="Headings"/>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pStyle w:val="Heading6"/>
      <w:lvlText w:val="%1.%2.%3.%4.%5.%6"/>
      <w:lvlJc w:val="left"/>
      <w:pPr>
        <w:ind w:left="1134" w:hanging="113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C832BEE"/>
    <w:multiLevelType w:val="multilevel"/>
    <w:tmpl w:val="9752981C"/>
    <w:styleLink w:val="PhotologNumberList"/>
    <w:lvl w:ilvl="0">
      <w:start w:val="1"/>
      <w:numFmt w:val="decimal"/>
      <w:suff w:val="space"/>
      <w:lvlText w:val="Photograph %1:"/>
      <w:lvlJc w:val="left"/>
      <w:pPr>
        <w:ind w:left="360" w:hanging="360"/>
      </w:pPr>
      <w:rPr>
        <w:rFonts w:asciiTheme="majorHAnsi" w:hAnsiTheme="majorHAnsi" w:hint="default"/>
        <w:b/>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09538E"/>
    <w:multiLevelType w:val="hybridMultilevel"/>
    <w:tmpl w:val="46E2C7FC"/>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9" w15:restartNumberingAfterBreak="0">
    <w:nsid w:val="0D813282"/>
    <w:multiLevelType w:val="multilevel"/>
    <w:tmpl w:val="AFE0CE1E"/>
    <w:lvl w:ilvl="0">
      <w:start w:val="1"/>
      <w:numFmt w:val="bullet"/>
      <w:pStyle w:val="CVResumeBullet"/>
      <w:lvlText w:val=""/>
      <w:lvlJc w:val="left"/>
      <w:pPr>
        <w:ind w:left="360" w:hanging="360"/>
      </w:pPr>
      <w:rPr>
        <w:rFonts w:ascii="Wingdings" w:hAnsi="Wingdings" w:hint="default"/>
        <w:color w:val="auto"/>
        <w:sz w:val="14"/>
      </w:rPr>
    </w:lvl>
    <w:lvl w:ilvl="1">
      <w:start w:val="1"/>
      <w:numFmt w:val="bullet"/>
      <w:lvlRestart w:val="0"/>
      <w:lvlText w:val=""/>
      <w:lvlJc w:val="left"/>
      <w:pPr>
        <w:ind w:left="3799" w:hanging="3601"/>
      </w:pPr>
      <w:rPr>
        <w:rFonts w:ascii="Symbol" w:hAnsi="Symbol" w:hint="default"/>
        <w:color w:val="auto"/>
      </w:rPr>
    </w:lvl>
    <w:lvl w:ilvl="2">
      <w:numFmt w:val="none"/>
      <w:lvlRestart w:val="0"/>
      <w:lvlText w:val=""/>
      <w:lvlJc w:val="left"/>
      <w:pPr>
        <w:ind w:left="3799" w:hanging="3601"/>
      </w:pPr>
      <w:rPr>
        <w:rFonts w:hint="default"/>
      </w:rPr>
    </w:lvl>
    <w:lvl w:ilvl="3">
      <w:numFmt w:val="none"/>
      <w:lvlRestart w:val="0"/>
      <w:lvlText w:val=""/>
      <w:lvlJc w:val="left"/>
      <w:pPr>
        <w:ind w:left="3799" w:hanging="3601"/>
      </w:pPr>
      <w:rPr>
        <w:rFonts w:hint="default"/>
      </w:rPr>
    </w:lvl>
    <w:lvl w:ilvl="4">
      <w:numFmt w:val="none"/>
      <w:lvlRestart w:val="0"/>
      <w:lvlText w:val=""/>
      <w:lvlJc w:val="left"/>
      <w:pPr>
        <w:ind w:left="3799" w:hanging="3601"/>
      </w:pPr>
      <w:rPr>
        <w:rFonts w:hint="default"/>
      </w:rPr>
    </w:lvl>
    <w:lvl w:ilvl="5">
      <w:numFmt w:val="none"/>
      <w:lvlRestart w:val="0"/>
      <w:lvlText w:val=""/>
      <w:lvlJc w:val="left"/>
      <w:pPr>
        <w:ind w:left="3799" w:hanging="3601"/>
      </w:pPr>
      <w:rPr>
        <w:rFonts w:hint="default"/>
      </w:rPr>
    </w:lvl>
    <w:lvl w:ilvl="6">
      <w:numFmt w:val="none"/>
      <w:lvlRestart w:val="0"/>
      <w:lvlText w:val=""/>
      <w:lvlJc w:val="left"/>
      <w:pPr>
        <w:ind w:left="3799" w:hanging="3601"/>
      </w:pPr>
      <w:rPr>
        <w:rFonts w:hint="default"/>
      </w:rPr>
    </w:lvl>
    <w:lvl w:ilvl="7">
      <w:numFmt w:val="none"/>
      <w:lvlRestart w:val="0"/>
      <w:lvlText w:val=""/>
      <w:lvlJc w:val="left"/>
      <w:pPr>
        <w:ind w:left="3799" w:hanging="3601"/>
      </w:pPr>
      <w:rPr>
        <w:rFonts w:hint="default"/>
      </w:rPr>
    </w:lvl>
    <w:lvl w:ilvl="8">
      <w:numFmt w:val="none"/>
      <w:lvlRestart w:val="0"/>
      <w:lvlText w:val=""/>
      <w:lvlJc w:val="left"/>
      <w:pPr>
        <w:ind w:left="3799" w:hanging="3601"/>
      </w:pPr>
      <w:rPr>
        <w:rFonts w:hint="default"/>
      </w:rPr>
    </w:lvl>
  </w:abstractNum>
  <w:abstractNum w:abstractNumId="10" w15:restartNumberingAfterBreak="0">
    <w:nsid w:val="0D983731"/>
    <w:multiLevelType w:val="multilevel"/>
    <w:tmpl w:val="19567D56"/>
    <w:styleLink w:val="JacobsTableNumberTitle"/>
    <w:lvl w:ilvl="0">
      <w:start w:val="1"/>
      <w:numFmt w:val="decimal"/>
      <w:lvlText w:val="Table %1: "/>
      <w:lvlJc w:val="left"/>
      <w:pPr>
        <w:ind w:left="907" w:hanging="907"/>
      </w:pPr>
      <w:rPr>
        <w:rFonts w:asciiTheme="majorHAnsi" w:hAnsiTheme="majorHAnsi" w:hint="default"/>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F7C496F"/>
    <w:multiLevelType w:val="hybridMultilevel"/>
    <w:tmpl w:val="D0CCCA0E"/>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9E46AD"/>
    <w:multiLevelType w:val="multilevel"/>
    <w:tmpl w:val="0720D5DE"/>
    <w:styleLink w:val="InstructionNumbering"/>
    <w:lvl w:ilvl="0">
      <w:start w:val="1"/>
      <w:numFmt w:val="decimal"/>
      <w:pStyle w:val="InstructionNumber"/>
      <w:lvlText w:val="%1."/>
      <w:lvlJc w:val="left"/>
      <w:pPr>
        <w:ind w:left="720" w:hanging="720"/>
      </w:pPr>
      <w:rPr>
        <w:rFonts w:hint="default"/>
      </w:rPr>
    </w:lvl>
    <w:lvl w:ilvl="1">
      <w:start w:val="1"/>
      <w:numFmt w:val="bullet"/>
      <w:pStyle w:val="InstructionBullet"/>
      <w:lvlText w:val="◦"/>
      <w:lvlJc w:val="left"/>
      <w:pPr>
        <w:ind w:left="1077" w:hanging="357"/>
      </w:pPr>
      <w:rPr>
        <w:rFonts w:ascii="Calibri" w:hAnsi="Calibri" w:cs="Times New Roman" w:hint="default"/>
        <w:color w:val="231EDC" w:themeColor="accent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0067A7D"/>
    <w:multiLevelType w:val="singleLevel"/>
    <w:tmpl w:val="7FAAFDB8"/>
    <w:lvl w:ilvl="0">
      <w:start w:val="1"/>
      <w:numFmt w:val="bullet"/>
      <w:pStyle w:val="TableBullet3"/>
      <w:lvlText w:val=""/>
      <w:lvlJc w:val="left"/>
      <w:pPr>
        <w:ind w:left="360" w:hanging="360"/>
      </w:pPr>
      <w:rPr>
        <w:rFonts w:ascii="Symbol" w:hAnsi="Symbol" w:hint="default"/>
        <w:sz w:val="16"/>
      </w:rPr>
    </w:lvl>
  </w:abstractNum>
  <w:abstractNum w:abstractNumId="14" w15:restartNumberingAfterBreak="0">
    <w:nsid w:val="10925DD9"/>
    <w:multiLevelType w:val="multilevel"/>
    <w:tmpl w:val="6726B982"/>
    <w:styleLink w:val="FigureNumberTitle"/>
    <w:lvl w:ilvl="0">
      <w:start w:val="1"/>
      <w:numFmt w:val="decimal"/>
      <w:lvlText w:val="Figure %1: "/>
      <w:lvlJc w:val="left"/>
      <w:pPr>
        <w:ind w:left="964" w:hanging="964"/>
      </w:pPr>
      <w:rPr>
        <w:rFonts w:asciiTheme="majorHAnsi" w:hAnsiTheme="majorHAnsi" w:hint="default"/>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3624791"/>
    <w:multiLevelType w:val="hybridMultilevel"/>
    <w:tmpl w:val="7EA877F0"/>
    <w:lvl w:ilvl="0" w:tplc="843C8106">
      <w:start w:val="1"/>
      <w:numFmt w:val="bullet"/>
      <w:lvlText w:val=""/>
      <w:lvlJc w:val="left"/>
      <w:pPr>
        <w:ind w:left="1077" w:hanging="360"/>
      </w:pPr>
      <w:rPr>
        <w:rFonts w:ascii="Symbol" w:hAnsi="Symbol" w:hint="default"/>
        <w:sz w:val="16"/>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6" w15:restartNumberingAfterBreak="0">
    <w:nsid w:val="13B66F3D"/>
    <w:multiLevelType w:val="hybridMultilevel"/>
    <w:tmpl w:val="B1E40FC2"/>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A9308E"/>
    <w:multiLevelType w:val="multilevel"/>
    <w:tmpl w:val="556A30FC"/>
    <w:styleLink w:val="SingleSequentialNumbering"/>
    <w:lvl w:ilvl="0">
      <w:start w:val="1"/>
      <w:numFmt w:val="decimal"/>
      <w:pStyle w:val="SingleSequential"/>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6520CF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7F55063"/>
    <w:multiLevelType w:val="hybridMultilevel"/>
    <w:tmpl w:val="48CC3E54"/>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1B4193"/>
    <w:multiLevelType w:val="multilevel"/>
    <w:tmpl w:val="0A026A64"/>
    <w:styleLink w:val="ProjectBullets"/>
    <w:lvl w:ilvl="0">
      <w:start w:val="1"/>
      <w:numFmt w:val="bullet"/>
      <w:pStyle w:val="ProjectBullet"/>
      <w:lvlText w:val=""/>
      <w:lvlJc w:val="left"/>
      <w:pPr>
        <w:ind w:left="170" w:hanging="170"/>
      </w:pPr>
      <w:rPr>
        <w:rFonts w:ascii="Wingdings" w:hAnsi="Wingdings" w:cs="Times New Roman" w:hint="default"/>
      </w:rPr>
    </w:lvl>
    <w:lvl w:ilvl="1">
      <w:start w:val="1"/>
      <w:numFmt w:val="bullet"/>
      <w:pStyle w:val="ProjectBullet2ndLevel"/>
      <w:lvlText w:val="-"/>
      <w:lvlJc w:val="left"/>
      <w:pPr>
        <w:ind w:left="340" w:hanging="170"/>
      </w:pPr>
      <w:rPr>
        <w:rFonts w:ascii="Arial" w:hAnsi="Arial"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B594D41"/>
    <w:multiLevelType w:val="hybridMultilevel"/>
    <w:tmpl w:val="13C619DE"/>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A54DAE"/>
    <w:multiLevelType w:val="hybridMultilevel"/>
    <w:tmpl w:val="B7BE842C"/>
    <w:lvl w:ilvl="0" w:tplc="5E28B674">
      <w:start w:val="1"/>
      <w:numFmt w:val="bullet"/>
      <w:pStyle w:val="CVResumeBullet2ndLevel"/>
      <w:lvlText w:val="-"/>
      <w:lvlJc w:val="left"/>
      <w:pPr>
        <w:ind w:left="720" w:hanging="360"/>
      </w:pPr>
      <w:rPr>
        <w:rFonts w:ascii="Jacobs Chronos" w:hAnsi="Jacobs Chronos" w:hint="default"/>
        <w14:numSpacing w14:val="tabul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1E617B"/>
    <w:multiLevelType w:val="multilevel"/>
    <w:tmpl w:val="808E483A"/>
    <w:numStyleLink w:val="Headings"/>
  </w:abstractNum>
  <w:abstractNum w:abstractNumId="24" w15:restartNumberingAfterBreak="0">
    <w:nsid w:val="1C6634C9"/>
    <w:multiLevelType w:val="multilevel"/>
    <w:tmpl w:val="5462B0E8"/>
    <w:styleLink w:val="Bullets"/>
    <w:lvl w:ilvl="0">
      <w:start w:val="1"/>
      <w:numFmt w:val="bullet"/>
      <w:pStyle w:val="BulletLevel1"/>
      <w:lvlText w:val=""/>
      <w:lvlJc w:val="left"/>
      <w:pPr>
        <w:ind w:left="284" w:hanging="284"/>
      </w:pPr>
      <w:rPr>
        <w:rFonts w:ascii="Wingdings" w:hAnsi="Wingdings" w:cs="Times New Roman" w:hint="default"/>
      </w:rPr>
    </w:lvl>
    <w:lvl w:ilvl="1">
      <w:start w:val="1"/>
      <w:numFmt w:val="bullet"/>
      <w:pStyle w:val="BulletLevel2"/>
      <w:lvlText w:val="-"/>
      <w:lvlJc w:val="left"/>
      <w:pPr>
        <w:ind w:left="567" w:hanging="283"/>
      </w:pPr>
      <w:rPr>
        <w:rFonts w:ascii="Jacobs Chronos" w:hAnsi="Jacobs Chronos" w:cs="Times New Roman" w:hint="default"/>
      </w:rPr>
    </w:lvl>
    <w:lvl w:ilvl="2">
      <w:start w:val="1"/>
      <w:numFmt w:val="bullet"/>
      <w:pStyle w:val="BulletLevel3"/>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C8F4382"/>
    <w:multiLevelType w:val="multilevel"/>
    <w:tmpl w:val="096AA76A"/>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D591D7F"/>
    <w:multiLevelType w:val="multilevel"/>
    <w:tmpl w:val="DA66FA1E"/>
    <w:styleLink w:val="CapabilityBullets"/>
    <w:lvl w:ilvl="0">
      <w:start w:val="1"/>
      <w:numFmt w:val="bullet"/>
      <w:pStyle w:val="CapabilityBullet"/>
      <w:lvlText w:val=""/>
      <w:lvlJc w:val="left"/>
      <w:pPr>
        <w:ind w:left="170" w:hanging="170"/>
      </w:pPr>
      <w:rPr>
        <w:rFonts w:ascii="Wingdings" w:hAnsi="Wingdings" w:cs="Times New Roman" w:hint="default"/>
      </w:rPr>
    </w:lvl>
    <w:lvl w:ilvl="1">
      <w:start w:val="1"/>
      <w:numFmt w:val="bullet"/>
      <w:pStyle w:val="CapabilityBullet2ndLevel"/>
      <w:lvlText w:val="-"/>
      <w:lvlJc w:val="left"/>
      <w:pPr>
        <w:ind w:left="340" w:hanging="170"/>
      </w:pPr>
      <w:rPr>
        <w:rFonts w:ascii="Arial" w:hAnsi="Arial"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DBE2BFD"/>
    <w:multiLevelType w:val="multilevel"/>
    <w:tmpl w:val="531CB01E"/>
    <w:styleLink w:val="TableNumbers"/>
    <w:lvl w:ilvl="0">
      <w:start w:val="1"/>
      <w:numFmt w:val="decimal"/>
      <w:pStyle w:val="TableNumber"/>
      <w:lvlText w:val="%1."/>
      <w:lvlJc w:val="left"/>
      <w:pPr>
        <w:ind w:left="284" w:hanging="284"/>
      </w:pPr>
      <w:rPr>
        <w:rFonts w:hint="default"/>
      </w:rPr>
    </w:lvl>
    <w:lvl w:ilvl="1">
      <w:start w:val="1"/>
      <w:numFmt w:val="lowerLetter"/>
      <w:pStyle w:val="TableNumber2"/>
      <w:lvlText w:val="%2."/>
      <w:lvlJc w:val="left"/>
      <w:pPr>
        <w:ind w:left="567" w:hanging="283"/>
      </w:pPr>
      <w:rPr>
        <w:rFonts w:hint="default"/>
      </w:rPr>
    </w:lvl>
    <w:lvl w:ilvl="2">
      <w:start w:val="1"/>
      <w:numFmt w:val="lowerRoman"/>
      <w:pStyle w:val="TableNumber3"/>
      <w:lvlText w:val="%3."/>
      <w:lvlJc w:val="left"/>
      <w:pPr>
        <w:tabs>
          <w:tab w:val="num" w:pos="567"/>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79D771B"/>
    <w:multiLevelType w:val="multilevel"/>
    <w:tmpl w:val="AF42FE90"/>
    <w:styleLink w:val="REMOVE"/>
    <w:lvl w:ilvl="0">
      <w:start w:val="1"/>
      <w:numFmt w:val="decimal"/>
      <w:lvlText w:val="%1."/>
      <w:lvlJc w:val="left"/>
      <w:pPr>
        <w:ind w:left="1134" w:hanging="1134"/>
      </w:pPr>
      <w:rPr>
        <w:rFonts w:ascii="Jacobs Chronos" w:hAnsi="Jacobs Chronos" w:hint="default"/>
        <w:b/>
        <w:i w:val="0"/>
        <w:color w:val="231EDC" w:themeColor="accent1"/>
        <w:sz w:val="32"/>
      </w:rPr>
    </w:lvl>
    <w:lvl w:ilvl="1">
      <w:start w:val="1"/>
      <w:numFmt w:val="decimal"/>
      <w:lvlText w:val="%1.%2."/>
      <w:lvlJc w:val="left"/>
      <w:pPr>
        <w:ind w:left="1134" w:hanging="1134"/>
      </w:pPr>
      <w:rPr>
        <w:rFonts w:ascii="Jacobs Chronos" w:hAnsi="Jacobs Chronos" w:hint="default"/>
        <w:b/>
        <w:i w:val="0"/>
        <w:color w:val="auto"/>
        <w:sz w:val="30"/>
      </w:rPr>
    </w:lvl>
    <w:lvl w:ilvl="2">
      <w:start w:val="1"/>
      <w:numFmt w:val="decimal"/>
      <w:lvlText w:val="%3.%1.%2"/>
      <w:lvlJc w:val="left"/>
      <w:pPr>
        <w:ind w:left="1134" w:hanging="1134"/>
      </w:pPr>
      <w:rPr>
        <w:rFonts w:ascii="Jacobs Chronos" w:hAnsi="Jacobs Chronos" w:hint="default"/>
        <w:b/>
        <w:i w:val="0"/>
        <w:color w:val="auto"/>
        <w:sz w:val="28"/>
      </w:rPr>
    </w:lvl>
    <w:lvl w:ilvl="3">
      <w:start w:val="1"/>
      <w:numFmt w:val="decimal"/>
      <w:lvlText w:val="%4.%1.%2.%3"/>
      <w:lvlJc w:val="left"/>
      <w:pPr>
        <w:ind w:left="1134" w:hanging="1134"/>
      </w:pPr>
      <w:rPr>
        <w:rFonts w:ascii="Jacobs Chronos" w:hAnsi="Jacobs Chronos" w:hint="default"/>
        <w:b/>
        <w:i w:val="0"/>
        <w:color w:val="auto"/>
        <w:sz w:val="26"/>
      </w:rPr>
    </w:lvl>
    <w:lvl w:ilvl="4">
      <w:start w:val="1"/>
      <w:numFmt w:val="decimal"/>
      <w:lvlText w:val="%5.%1.%2.%3.%4"/>
      <w:lvlJc w:val="left"/>
      <w:pPr>
        <w:ind w:left="1134" w:hanging="1134"/>
      </w:pPr>
      <w:rPr>
        <w:rFonts w:ascii="Jacobs Chronos Light" w:hAnsi="Jacobs Chronos Light" w:hint="default"/>
        <w:b/>
        <w:i w:val="0"/>
        <w:color w:val="auto"/>
        <w:sz w:val="24"/>
      </w:rPr>
    </w:lvl>
    <w:lvl w:ilvl="5">
      <w:start w:val="1"/>
      <w:numFmt w:val="decimal"/>
      <w:lvlText w:val="%6.%1.%2."/>
      <w:lvlJc w:val="left"/>
      <w:pPr>
        <w:ind w:left="-32767" w:firstLine="32767"/>
      </w:pPr>
      <w:rPr>
        <w:rFonts w:ascii="Jacobs Chronos Light" w:hAnsi="Jacobs Chronos Light" w:hint="default"/>
        <w:b/>
        <w:i w:val="0"/>
        <w:color w:val="auto"/>
        <w:sz w:val="22"/>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decimal"/>
      <w:lvlText w:val="%9.%1."/>
      <w:lvlJc w:val="left"/>
      <w:pPr>
        <w:ind w:left="851" w:hanging="851"/>
      </w:pPr>
      <w:rPr>
        <w:rFonts w:hint="default"/>
      </w:rPr>
    </w:lvl>
  </w:abstractNum>
  <w:abstractNum w:abstractNumId="29" w15:restartNumberingAfterBreak="0">
    <w:nsid w:val="290B332D"/>
    <w:multiLevelType w:val="hybridMultilevel"/>
    <w:tmpl w:val="29C6155A"/>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8A213A"/>
    <w:multiLevelType w:val="hybridMultilevel"/>
    <w:tmpl w:val="2F764EF4"/>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987F12"/>
    <w:multiLevelType w:val="hybridMultilevel"/>
    <w:tmpl w:val="70BAF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49E59BA"/>
    <w:multiLevelType w:val="multilevel"/>
    <w:tmpl w:val="EBE689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37771C91"/>
    <w:multiLevelType w:val="multilevel"/>
    <w:tmpl w:val="3D86A774"/>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79467C9"/>
    <w:multiLevelType w:val="hybridMultilevel"/>
    <w:tmpl w:val="00946AA8"/>
    <w:lvl w:ilvl="0" w:tplc="B998AA9E">
      <w:start w:val="1"/>
      <w:numFmt w:val="bullet"/>
      <w:lvlText w:val=""/>
      <w:lvlJc w:val="left"/>
      <w:pPr>
        <w:ind w:left="720" w:hanging="360"/>
      </w:pPr>
      <w:rPr>
        <w:rFonts w:ascii="Symbol" w:hAnsi="Symbol" w:hint="default"/>
        <w:sz w:val="16"/>
      </w:rPr>
    </w:lvl>
    <w:lvl w:ilvl="1" w:tplc="FFD8B0BE" w:tentative="1">
      <w:start w:val="1"/>
      <w:numFmt w:val="bullet"/>
      <w:lvlText w:val="o"/>
      <w:lvlJc w:val="left"/>
      <w:pPr>
        <w:ind w:left="1440" w:hanging="360"/>
      </w:pPr>
      <w:rPr>
        <w:rFonts w:ascii="Courier New" w:hAnsi="Courier New" w:cs="Courier New" w:hint="default"/>
      </w:rPr>
    </w:lvl>
    <w:lvl w:ilvl="2" w:tplc="10724204" w:tentative="1">
      <w:start w:val="1"/>
      <w:numFmt w:val="bullet"/>
      <w:lvlText w:val=""/>
      <w:lvlJc w:val="left"/>
      <w:pPr>
        <w:ind w:left="2160" w:hanging="360"/>
      </w:pPr>
      <w:rPr>
        <w:rFonts w:ascii="Wingdings" w:hAnsi="Wingdings" w:hint="default"/>
      </w:rPr>
    </w:lvl>
    <w:lvl w:ilvl="3" w:tplc="FE12BCAC" w:tentative="1">
      <w:start w:val="1"/>
      <w:numFmt w:val="bullet"/>
      <w:lvlText w:val=""/>
      <w:lvlJc w:val="left"/>
      <w:pPr>
        <w:ind w:left="2880" w:hanging="360"/>
      </w:pPr>
      <w:rPr>
        <w:rFonts w:ascii="Symbol" w:hAnsi="Symbol" w:hint="default"/>
      </w:rPr>
    </w:lvl>
    <w:lvl w:ilvl="4" w:tplc="BDBEB896" w:tentative="1">
      <w:start w:val="1"/>
      <w:numFmt w:val="bullet"/>
      <w:lvlText w:val="o"/>
      <w:lvlJc w:val="left"/>
      <w:pPr>
        <w:ind w:left="3600" w:hanging="360"/>
      </w:pPr>
      <w:rPr>
        <w:rFonts w:ascii="Courier New" w:hAnsi="Courier New" w:cs="Courier New" w:hint="default"/>
      </w:rPr>
    </w:lvl>
    <w:lvl w:ilvl="5" w:tplc="F54C2EA4" w:tentative="1">
      <w:start w:val="1"/>
      <w:numFmt w:val="bullet"/>
      <w:lvlText w:val=""/>
      <w:lvlJc w:val="left"/>
      <w:pPr>
        <w:ind w:left="4320" w:hanging="360"/>
      </w:pPr>
      <w:rPr>
        <w:rFonts w:ascii="Wingdings" w:hAnsi="Wingdings" w:hint="default"/>
      </w:rPr>
    </w:lvl>
    <w:lvl w:ilvl="6" w:tplc="A8D0D08C" w:tentative="1">
      <w:start w:val="1"/>
      <w:numFmt w:val="bullet"/>
      <w:lvlText w:val=""/>
      <w:lvlJc w:val="left"/>
      <w:pPr>
        <w:ind w:left="5040" w:hanging="360"/>
      </w:pPr>
      <w:rPr>
        <w:rFonts w:ascii="Symbol" w:hAnsi="Symbol" w:hint="default"/>
      </w:rPr>
    </w:lvl>
    <w:lvl w:ilvl="7" w:tplc="2EE6942A" w:tentative="1">
      <w:start w:val="1"/>
      <w:numFmt w:val="bullet"/>
      <w:lvlText w:val="o"/>
      <w:lvlJc w:val="left"/>
      <w:pPr>
        <w:ind w:left="5760" w:hanging="360"/>
      </w:pPr>
      <w:rPr>
        <w:rFonts w:ascii="Courier New" w:hAnsi="Courier New" w:cs="Courier New" w:hint="default"/>
      </w:rPr>
    </w:lvl>
    <w:lvl w:ilvl="8" w:tplc="BD749432" w:tentative="1">
      <w:start w:val="1"/>
      <w:numFmt w:val="bullet"/>
      <w:lvlText w:val=""/>
      <w:lvlJc w:val="left"/>
      <w:pPr>
        <w:ind w:left="6480" w:hanging="360"/>
      </w:pPr>
      <w:rPr>
        <w:rFonts w:ascii="Wingdings" w:hAnsi="Wingdings" w:hint="default"/>
      </w:rPr>
    </w:lvl>
  </w:abstractNum>
  <w:abstractNum w:abstractNumId="35" w15:restartNumberingAfterBreak="0">
    <w:nsid w:val="39C02F23"/>
    <w:multiLevelType w:val="hybridMultilevel"/>
    <w:tmpl w:val="09E61F80"/>
    <w:lvl w:ilvl="0" w:tplc="843C8106">
      <w:start w:val="1"/>
      <w:numFmt w:val="bullet"/>
      <w:pStyle w:val="TableBullet2ndLevel"/>
      <w:lvlText w:val="-"/>
      <w:lvlJc w:val="left"/>
      <w:pPr>
        <w:ind w:left="890" w:hanging="360"/>
      </w:pPr>
      <w:rPr>
        <w:rFonts w:ascii="Jacobs Chronos" w:hAnsi="Jacobs Chrono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6" w15:restartNumberingAfterBreak="0">
    <w:nsid w:val="3B8D43F2"/>
    <w:multiLevelType w:val="multilevel"/>
    <w:tmpl w:val="DE66AD6C"/>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D912658"/>
    <w:multiLevelType w:val="multilevel"/>
    <w:tmpl w:val="E91C8E08"/>
    <w:styleLink w:val="JacobsNumberedHeadings"/>
    <w:lvl w:ilvl="0">
      <w:start w:val="1"/>
      <w:numFmt w:val="decimal"/>
      <w:lvlText w:val="%1."/>
      <w:lvlJc w:val="left"/>
      <w:pPr>
        <w:ind w:left="1134" w:hanging="1134"/>
      </w:pPr>
      <w:rPr>
        <w:rFonts w:hint="default"/>
        <w:b/>
        <w:i w:val="0"/>
        <w:sz w:val="32"/>
      </w:rPr>
    </w:lvl>
    <w:lvl w:ilvl="1">
      <w:start w:val="1"/>
      <w:numFmt w:val="decimal"/>
      <w:lvlText w:val="%1.%2"/>
      <w:lvlJc w:val="left"/>
      <w:pPr>
        <w:ind w:left="1134" w:hanging="1134"/>
      </w:pPr>
      <w:rPr>
        <w:rFonts w:asciiTheme="majorHAnsi" w:hAnsiTheme="majorHAnsi" w:hint="default"/>
        <w:b/>
        <w:i w:val="0"/>
        <w:sz w:val="28"/>
      </w:rPr>
    </w:lvl>
    <w:lvl w:ilvl="2">
      <w:start w:val="1"/>
      <w:numFmt w:val="decimal"/>
      <w:lvlRestart w:val="1"/>
      <w:lvlText w:val="%1.%2.%3"/>
      <w:lvlJc w:val="left"/>
      <w:pPr>
        <w:ind w:left="1134" w:hanging="1134"/>
      </w:pPr>
      <w:rPr>
        <w:rFonts w:asciiTheme="majorHAnsi" w:hAnsiTheme="majorHAnsi" w:hint="default"/>
        <w:b/>
        <w:i w:val="0"/>
        <w:sz w:val="26"/>
      </w:rPr>
    </w:lvl>
    <w:lvl w:ilvl="3">
      <w:start w:val="1"/>
      <w:numFmt w:val="decimal"/>
      <w:lvlText w:val="%1.%2.%3.%4"/>
      <w:lvlJc w:val="left"/>
      <w:pPr>
        <w:ind w:left="1134" w:hanging="1134"/>
      </w:pPr>
      <w:rPr>
        <w:rFonts w:asciiTheme="minorHAnsi" w:hAnsiTheme="minorHAnsi" w:hint="default"/>
        <w:b/>
        <w:i w:val="0"/>
        <w:sz w:val="24"/>
      </w:rPr>
    </w:lvl>
    <w:lvl w:ilvl="4">
      <w:start w:val="1"/>
      <w:numFmt w:val="decimal"/>
      <w:lvlText w:val="%1.%2.%3.%4.%5"/>
      <w:lvlJc w:val="left"/>
      <w:pPr>
        <w:ind w:left="1134" w:hanging="1134"/>
      </w:pPr>
      <w:rPr>
        <w:rFonts w:asciiTheme="minorHAnsi" w:hAnsiTheme="minorHAnsi" w:hint="default"/>
        <w:b/>
        <w:i w:val="0"/>
        <w:sz w:val="22"/>
      </w:rPr>
    </w:lvl>
    <w:lvl w:ilvl="5">
      <w:start w:val="1"/>
      <w:numFmt w:val="decimal"/>
      <w:lvlText w:val="%1.%2.%3.%4.%5.%6"/>
      <w:lvlJc w:val="left"/>
      <w:pPr>
        <w:ind w:left="1134" w:hanging="1134"/>
      </w:pPr>
      <w:rPr>
        <w:rFonts w:asciiTheme="minorHAnsi" w:hAnsiTheme="minorHAnsi" w:hint="default"/>
        <w:b/>
        <w:i w:val="0"/>
        <w:sz w:val="20"/>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9."/>
      <w:lvlJc w:val="left"/>
      <w:pPr>
        <w:ind w:left="1134" w:hanging="1134"/>
      </w:pPr>
      <w:rPr>
        <w:rFonts w:hint="default"/>
        <w:b/>
        <w:i w:val="0"/>
        <w:color w:val="auto"/>
        <w:sz w:val="32"/>
      </w:rPr>
    </w:lvl>
  </w:abstractNum>
  <w:abstractNum w:abstractNumId="38" w15:restartNumberingAfterBreak="0">
    <w:nsid w:val="3F107EE6"/>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12C6F17"/>
    <w:multiLevelType w:val="hybridMultilevel"/>
    <w:tmpl w:val="40E04FEA"/>
    <w:lvl w:ilvl="0" w:tplc="0D9440D6">
      <w:start w:val="1"/>
      <w:numFmt w:val="bullet"/>
      <w:lvlText w:val=""/>
      <w:lvlJc w:val="left"/>
      <w:pPr>
        <w:ind w:left="720" w:hanging="360"/>
      </w:pPr>
      <w:rPr>
        <w:rFonts w:ascii="Symbol" w:hAnsi="Symbol" w:hint="default"/>
      </w:rPr>
    </w:lvl>
    <w:lvl w:ilvl="1" w:tplc="E506A636" w:tentative="1">
      <w:start w:val="1"/>
      <w:numFmt w:val="bullet"/>
      <w:lvlText w:val="o"/>
      <w:lvlJc w:val="left"/>
      <w:pPr>
        <w:ind w:left="1440" w:hanging="360"/>
      </w:pPr>
      <w:rPr>
        <w:rFonts w:ascii="Courier New" w:hAnsi="Courier New" w:cs="Courier New" w:hint="default"/>
      </w:rPr>
    </w:lvl>
    <w:lvl w:ilvl="2" w:tplc="E200954E" w:tentative="1">
      <w:start w:val="1"/>
      <w:numFmt w:val="bullet"/>
      <w:lvlText w:val=""/>
      <w:lvlJc w:val="left"/>
      <w:pPr>
        <w:ind w:left="2160" w:hanging="360"/>
      </w:pPr>
      <w:rPr>
        <w:rFonts w:ascii="Wingdings" w:hAnsi="Wingdings" w:hint="default"/>
      </w:rPr>
    </w:lvl>
    <w:lvl w:ilvl="3" w:tplc="5452352C" w:tentative="1">
      <w:start w:val="1"/>
      <w:numFmt w:val="bullet"/>
      <w:lvlText w:val=""/>
      <w:lvlJc w:val="left"/>
      <w:pPr>
        <w:ind w:left="2880" w:hanging="360"/>
      </w:pPr>
      <w:rPr>
        <w:rFonts w:ascii="Symbol" w:hAnsi="Symbol" w:hint="default"/>
      </w:rPr>
    </w:lvl>
    <w:lvl w:ilvl="4" w:tplc="343E7D70" w:tentative="1">
      <w:start w:val="1"/>
      <w:numFmt w:val="bullet"/>
      <w:lvlText w:val="o"/>
      <w:lvlJc w:val="left"/>
      <w:pPr>
        <w:ind w:left="3600" w:hanging="360"/>
      </w:pPr>
      <w:rPr>
        <w:rFonts w:ascii="Courier New" w:hAnsi="Courier New" w:cs="Courier New" w:hint="default"/>
      </w:rPr>
    </w:lvl>
    <w:lvl w:ilvl="5" w:tplc="D8A00364" w:tentative="1">
      <w:start w:val="1"/>
      <w:numFmt w:val="bullet"/>
      <w:lvlText w:val=""/>
      <w:lvlJc w:val="left"/>
      <w:pPr>
        <w:ind w:left="4320" w:hanging="360"/>
      </w:pPr>
      <w:rPr>
        <w:rFonts w:ascii="Wingdings" w:hAnsi="Wingdings" w:hint="default"/>
      </w:rPr>
    </w:lvl>
    <w:lvl w:ilvl="6" w:tplc="970AD22E" w:tentative="1">
      <w:start w:val="1"/>
      <w:numFmt w:val="bullet"/>
      <w:lvlText w:val=""/>
      <w:lvlJc w:val="left"/>
      <w:pPr>
        <w:ind w:left="5040" w:hanging="360"/>
      </w:pPr>
      <w:rPr>
        <w:rFonts w:ascii="Symbol" w:hAnsi="Symbol" w:hint="default"/>
      </w:rPr>
    </w:lvl>
    <w:lvl w:ilvl="7" w:tplc="DFCAE9C4" w:tentative="1">
      <w:start w:val="1"/>
      <w:numFmt w:val="bullet"/>
      <w:lvlText w:val="o"/>
      <w:lvlJc w:val="left"/>
      <w:pPr>
        <w:ind w:left="5760" w:hanging="360"/>
      </w:pPr>
      <w:rPr>
        <w:rFonts w:ascii="Courier New" w:hAnsi="Courier New" w:cs="Courier New" w:hint="default"/>
      </w:rPr>
    </w:lvl>
    <w:lvl w:ilvl="8" w:tplc="94FE66D8" w:tentative="1">
      <w:start w:val="1"/>
      <w:numFmt w:val="bullet"/>
      <w:lvlText w:val=""/>
      <w:lvlJc w:val="left"/>
      <w:pPr>
        <w:ind w:left="6480" w:hanging="360"/>
      </w:pPr>
      <w:rPr>
        <w:rFonts w:ascii="Wingdings" w:hAnsi="Wingdings" w:hint="default"/>
      </w:rPr>
    </w:lvl>
  </w:abstractNum>
  <w:abstractNum w:abstractNumId="40" w15:restartNumberingAfterBreak="0">
    <w:nsid w:val="437E6C64"/>
    <w:multiLevelType w:val="hybridMultilevel"/>
    <w:tmpl w:val="03E26376"/>
    <w:lvl w:ilvl="0" w:tplc="08090001">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AB7BBD"/>
    <w:multiLevelType w:val="hybridMultilevel"/>
    <w:tmpl w:val="D144A650"/>
    <w:lvl w:ilvl="0" w:tplc="843C8106">
      <w:start w:val="1"/>
      <w:numFmt w:val="bullet"/>
      <w:pStyle w:val="TableBullet3rdLevel"/>
      <w:lvlText w:val=""/>
      <w:lvlJc w:val="left"/>
      <w:pPr>
        <w:ind w:left="700" w:hanging="360"/>
      </w:pPr>
      <w:rPr>
        <w:rFonts w:ascii="Wingdings" w:hAnsi="Wingdings"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42" w15:restartNumberingAfterBreak="0">
    <w:nsid w:val="4A85256C"/>
    <w:multiLevelType w:val="multilevel"/>
    <w:tmpl w:val="944EE040"/>
    <w:styleLink w:val="JacobsNumberedList12"/>
    <w:lvl w:ilvl="0">
      <w:start w:val="1"/>
      <w:numFmt w:val="decimal"/>
      <w:lvlText w:val="%1)"/>
      <w:lvlJc w:val="left"/>
      <w:pPr>
        <w:ind w:left="1247" w:hanging="396"/>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3" w15:restartNumberingAfterBreak="0">
    <w:nsid w:val="4AFD1650"/>
    <w:multiLevelType w:val="hybridMultilevel"/>
    <w:tmpl w:val="5FE89FA0"/>
    <w:lvl w:ilvl="0" w:tplc="A66CF67C">
      <w:start w:val="10"/>
      <w:numFmt w:val="decimal"/>
      <w:lvlText w:val="%1"/>
      <w:lvlJc w:val="left"/>
      <w:pPr>
        <w:ind w:left="720" w:hanging="360"/>
      </w:pPr>
      <w:rPr>
        <w:rFonts w:hint="default"/>
      </w:rPr>
    </w:lvl>
    <w:lvl w:ilvl="1" w:tplc="B998B37A" w:tentative="1">
      <w:start w:val="1"/>
      <w:numFmt w:val="lowerLetter"/>
      <w:lvlText w:val="%2."/>
      <w:lvlJc w:val="left"/>
      <w:pPr>
        <w:ind w:left="1440" w:hanging="360"/>
      </w:pPr>
    </w:lvl>
    <w:lvl w:ilvl="2" w:tplc="046287E6" w:tentative="1">
      <w:start w:val="1"/>
      <w:numFmt w:val="lowerRoman"/>
      <w:lvlText w:val="%3."/>
      <w:lvlJc w:val="right"/>
      <w:pPr>
        <w:ind w:left="2160" w:hanging="180"/>
      </w:pPr>
    </w:lvl>
    <w:lvl w:ilvl="3" w:tplc="091CE63E" w:tentative="1">
      <w:start w:val="1"/>
      <w:numFmt w:val="decimal"/>
      <w:lvlText w:val="%4."/>
      <w:lvlJc w:val="left"/>
      <w:pPr>
        <w:ind w:left="2880" w:hanging="360"/>
      </w:pPr>
    </w:lvl>
    <w:lvl w:ilvl="4" w:tplc="816A517E" w:tentative="1">
      <w:start w:val="1"/>
      <w:numFmt w:val="lowerLetter"/>
      <w:lvlText w:val="%5."/>
      <w:lvlJc w:val="left"/>
      <w:pPr>
        <w:ind w:left="3600" w:hanging="360"/>
      </w:pPr>
    </w:lvl>
    <w:lvl w:ilvl="5" w:tplc="BE2C5220" w:tentative="1">
      <w:start w:val="1"/>
      <w:numFmt w:val="lowerRoman"/>
      <w:lvlText w:val="%6."/>
      <w:lvlJc w:val="right"/>
      <w:pPr>
        <w:ind w:left="4320" w:hanging="180"/>
      </w:pPr>
    </w:lvl>
    <w:lvl w:ilvl="6" w:tplc="01A6936C" w:tentative="1">
      <w:start w:val="1"/>
      <w:numFmt w:val="decimal"/>
      <w:lvlText w:val="%7."/>
      <w:lvlJc w:val="left"/>
      <w:pPr>
        <w:ind w:left="5040" w:hanging="360"/>
      </w:pPr>
    </w:lvl>
    <w:lvl w:ilvl="7" w:tplc="283CEF0A" w:tentative="1">
      <w:start w:val="1"/>
      <w:numFmt w:val="lowerLetter"/>
      <w:lvlText w:val="%8."/>
      <w:lvlJc w:val="left"/>
      <w:pPr>
        <w:ind w:left="5760" w:hanging="360"/>
      </w:pPr>
    </w:lvl>
    <w:lvl w:ilvl="8" w:tplc="FBBE53E8" w:tentative="1">
      <w:start w:val="1"/>
      <w:numFmt w:val="lowerRoman"/>
      <w:lvlText w:val="%9."/>
      <w:lvlJc w:val="right"/>
      <w:pPr>
        <w:ind w:left="6480" w:hanging="180"/>
      </w:pPr>
    </w:lvl>
  </w:abstractNum>
  <w:abstractNum w:abstractNumId="44" w15:restartNumberingAfterBreak="0">
    <w:nsid w:val="4B6058FA"/>
    <w:multiLevelType w:val="multilevel"/>
    <w:tmpl w:val="562643DE"/>
    <w:styleLink w:val="JacobsAppendixHeadings"/>
    <w:lvl w:ilvl="0">
      <w:start w:val="1"/>
      <w:numFmt w:val="upperLetter"/>
      <w:lvlText w:val="Appendix %1. "/>
      <w:lvlJc w:val="left"/>
      <w:pPr>
        <w:ind w:left="1134" w:hanging="1134"/>
      </w:pPr>
      <w:rPr>
        <w:rFonts w:asciiTheme="majorHAnsi" w:hAnsiTheme="majorHAnsi" w:hint="default"/>
        <w:b/>
        <w:bCs w:val="0"/>
        <w:i w:val="0"/>
        <w:iCs w:val="0"/>
        <w:caps w:val="0"/>
        <w:smallCaps w:val="0"/>
        <w:strike w:val="0"/>
        <w:dstrike w:val="0"/>
        <w:outline w:val="0"/>
        <w:shadow w:val="0"/>
        <w:emboss w:val="0"/>
        <w:imprint w:val="0"/>
        <w:noProof w:val="0"/>
        <w:vanish w:val="0"/>
        <w:color w:val="231EDC" w:themeColor="accent1"/>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134" w:hanging="1134"/>
      </w:pPr>
      <w:rPr>
        <w:rFonts w:asciiTheme="majorHAnsi" w:hAnsiTheme="majorHAnsi" w:hint="default"/>
        <w:b/>
        <w:i w:val="0"/>
        <w:caps w:val="0"/>
        <w:strike w:val="0"/>
        <w:dstrike w:val="0"/>
        <w:vanish w:val="0"/>
        <w:color w:val="000000" w:themeColor="text1"/>
        <w:sz w:val="28"/>
        <w:vertAlign w:val="baseline"/>
      </w:rPr>
    </w:lvl>
    <w:lvl w:ilvl="2">
      <w:start w:val="1"/>
      <w:numFmt w:val="decimal"/>
      <w:lvlText w:val="%1.%2.%3"/>
      <w:lvlJc w:val="left"/>
      <w:pPr>
        <w:ind w:left="1134" w:hanging="1134"/>
      </w:pPr>
      <w:rPr>
        <w:rFonts w:asciiTheme="majorHAnsi" w:hAnsiTheme="majorHAnsi" w:hint="default"/>
        <w:b/>
        <w:i w:val="0"/>
        <w:caps w:val="0"/>
        <w:strike w:val="0"/>
        <w:dstrike w:val="0"/>
        <w:vanish w:val="0"/>
        <w:color w:val="000000" w:themeColor="text1"/>
        <w:sz w:val="24"/>
        <w:vertAlign w:val="baseline"/>
      </w:rPr>
    </w:lvl>
    <w:lvl w:ilvl="3">
      <w:start w:val="1"/>
      <w:numFmt w:val="decimal"/>
      <w:lvlText w:val="%1.%2.%3.%4"/>
      <w:lvlJc w:val="left"/>
      <w:pPr>
        <w:ind w:left="1134" w:hanging="1134"/>
      </w:pPr>
      <w:rPr>
        <w:rFonts w:asciiTheme="majorHAnsi" w:hAnsiTheme="majorHAnsi" w:hint="default"/>
        <w:b/>
        <w:i w:val="0"/>
        <w:color w:val="auto"/>
        <w:sz w:val="22"/>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45" w15:restartNumberingAfterBreak="0">
    <w:nsid w:val="4D7D6EC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6" w15:restartNumberingAfterBreak="0">
    <w:nsid w:val="54016FAD"/>
    <w:multiLevelType w:val="multilevel"/>
    <w:tmpl w:val="19567D56"/>
    <w:lvl w:ilvl="0">
      <w:numFmt w:val="decimal"/>
      <w:pStyle w:val="TableNumberandTitl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6AE19DA"/>
    <w:multiLevelType w:val="multilevel"/>
    <w:tmpl w:val="F7DA1CE2"/>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8FB56D5"/>
    <w:multiLevelType w:val="multilevel"/>
    <w:tmpl w:val="556A30FC"/>
    <w:numStyleLink w:val="SingleSequentialNumbering"/>
  </w:abstractNum>
  <w:abstractNum w:abstractNumId="49" w15:restartNumberingAfterBreak="0">
    <w:nsid w:val="598A3E6E"/>
    <w:multiLevelType w:val="hybridMultilevel"/>
    <w:tmpl w:val="A4D644D8"/>
    <w:lvl w:ilvl="0" w:tplc="819470DA">
      <w:start w:val="1"/>
      <w:numFmt w:val="bullet"/>
      <w:lvlText w:val=""/>
      <w:lvlJc w:val="left"/>
      <w:pPr>
        <w:ind w:left="720" w:hanging="360"/>
      </w:pPr>
      <w:rPr>
        <w:rFonts w:ascii="Symbol" w:hAnsi="Symbol" w:hint="default"/>
        <w:sz w:val="16"/>
      </w:rPr>
    </w:lvl>
    <w:lvl w:ilvl="1" w:tplc="D8B0566E" w:tentative="1">
      <w:start w:val="1"/>
      <w:numFmt w:val="bullet"/>
      <w:lvlText w:val="o"/>
      <w:lvlJc w:val="left"/>
      <w:pPr>
        <w:ind w:left="1440" w:hanging="360"/>
      </w:pPr>
      <w:rPr>
        <w:rFonts w:ascii="Courier New" w:hAnsi="Courier New" w:cs="Courier New" w:hint="default"/>
      </w:rPr>
    </w:lvl>
    <w:lvl w:ilvl="2" w:tplc="13AC0922" w:tentative="1">
      <w:start w:val="1"/>
      <w:numFmt w:val="bullet"/>
      <w:lvlText w:val=""/>
      <w:lvlJc w:val="left"/>
      <w:pPr>
        <w:ind w:left="2160" w:hanging="360"/>
      </w:pPr>
      <w:rPr>
        <w:rFonts w:ascii="Wingdings" w:hAnsi="Wingdings" w:hint="default"/>
      </w:rPr>
    </w:lvl>
    <w:lvl w:ilvl="3" w:tplc="DAE8B264" w:tentative="1">
      <w:start w:val="1"/>
      <w:numFmt w:val="bullet"/>
      <w:lvlText w:val=""/>
      <w:lvlJc w:val="left"/>
      <w:pPr>
        <w:ind w:left="2880" w:hanging="360"/>
      </w:pPr>
      <w:rPr>
        <w:rFonts w:ascii="Symbol" w:hAnsi="Symbol" w:hint="default"/>
      </w:rPr>
    </w:lvl>
    <w:lvl w:ilvl="4" w:tplc="5AA24DC6" w:tentative="1">
      <w:start w:val="1"/>
      <w:numFmt w:val="bullet"/>
      <w:lvlText w:val="o"/>
      <w:lvlJc w:val="left"/>
      <w:pPr>
        <w:ind w:left="3600" w:hanging="360"/>
      </w:pPr>
      <w:rPr>
        <w:rFonts w:ascii="Courier New" w:hAnsi="Courier New" w:cs="Courier New" w:hint="default"/>
      </w:rPr>
    </w:lvl>
    <w:lvl w:ilvl="5" w:tplc="100E450C" w:tentative="1">
      <w:start w:val="1"/>
      <w:numFmt w:val="bullet"/>
      <w:lvlText w:val=""/>
      <w:lvlJc w:val="left"/>
      <w:pPr>
        <w:ind w:left="4320" w:hanging="360"/>
      </w:pPr>
      <w:rPr>
        <w:rFonts w:ascii="Wingdings" w:hAnsi="Wingdings" w:hint="default"/>
      </w:rPr>
    </w:lvl>
    <w:lvl w:ilvl="6" w:tplc="47B2052E" w:tentative="1">
      <w:start w:val="1"/>
      <w:numFmt w:val="bullet"/>
      <w:lvlText w:val=""/>
      <w:lvlJc w:val="left"/>
      <w:pPr>
        <w:ind w:left="5040" w:hanging="360"/>
      </w:pPr>
      <w:rPr>
        <w:rFonts w:ascii="Symbol" w:hAnsi="Symbol" w:hint="default"/>
      </w:rPr>
    </w:lvl>
    <w:lvl w:ilvl="7" w:tplc="1D0A890E" w:tentative="1">
      <w:start w:val="1"/>
      <w:numFmt w:val="bullet"/>
      <w:lvlText w:val="o"/>
      <w:lvlJc w:val="left"/>
      <w:pPr>
        <w:ind w:left="5760" w:hanging="360"/>
      </w:pPr>
      <w:rPr>
        <w:rFonts w:ascii="Courier New" w:hAnsi="Courier New" w:cs="Courier New" w:hint="default"/>
      </w:rPr>
    </w:lvl>
    <w:lvl w:ilvl="8" w:tplc="6FD2312E" w:tentative="1">
      <w:start w:val="1"/>
      <w:numFmt w:val="bullet"/>
      <w:lvlText w:val=""/>
      <w:lvlJc w:val="left"/>
      <w:pPr>
        <w:ind w:left="6480" w:hanging="360"/>
      </w:pPr>
      <w:rPr>
        <w:rFonts w:ascii="Wingdings" w:hAnsi="Wingdings" w:hint="default"/>
      </w:rPr>
    </w:lvl>
  </w:abstractNum>
  <w:abstractNum w:abstractNumId="50" w15:restartNumberingAfterBreak="0">
    <w:nsid w:val="5A496F36"/>
    <w:multiLevelType w:val="multilevel"/>
    <w:tmpl w:val="9094E708"/>
    <w:lvl w:ilvl="0">
      <w:start w:val="1"/>
      <w:numFmt w:val="bullet"/>
      <w:lvlText w:val=""/>
      <w:lvlJc w:val="left"/>
      <w:pPr>
        <w:ind w:left="284" w:hanging="284"/>
      </w:pPr>
      <w:rPr>
        <w:rFonts w:ascii="Wingdings" w:hAnsi="Wingdings" w:cs="Times New Roman" w:hint="default"/>
      </w:rPr>
    </w:lvl>
    <w:lvl w:ilvl="1">
      <w:start w:val="1"/>
      <w:numFmt w:val="bullet"/>
      <w:lvlText w:val=""/>
      <w:lvlJc w:val="left"/>
      <w:pPr>
        <w:ind w:left="567" w:hanging="283"/>
      </w:pPr>
      <w:rPr>
        <w:rFonts w:ascii="Symbol" w:hAnsi="Symbol" w:hint="default"/>
        <w:sz w:val="16"/>
      </w:rPr>
    </w:lvl>
    <w:lvl w:ilvl="2">
      <w:start w:val="1"/>
      <w:numFmt w:val="bullet"/>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5C502239"/>
    <w:multiLevelType w:val="hybridMultilevel"/>
    <w:tmpl w:val="254ADDE8"/>
    <w:lvl w:ilvl="0" w:tplc="F8AA1358">
      <w:start w:val="1"/>
      <w:numFmt w:val="bullet"/>
      <w:lvlText w:val=""/>
      <w:lvlJc w:val="left"/>
      <w:pPr>
        <w:ind w:left="720" w:hanging="360"/>
      </w:pPr>
      <w:rPr>
        <w:rFonts w:ascii="Symbol" w:hAnsi="Symbol" w:hint="default"/>
        <w:sz w:val="16"/>
      </w:rPr>
    </w:lvl>
    <w:lvl w:ilvl="1" w:tplc="66B6D498" w:tentative="1">
      <w:start w:val="1"/>
      <w:numFmt w:val="bullet"/>
      <w:lvlText w:val="o"/>
      <w:lvlJc w:val="left"/>
      <w:pPr>
        <w:ind w:left="1440" w:hanging="360"/>
      </w:pPr>
      <w:rPr>
        <w:rFonts w:ascii="Courier New" w:hAnsi="Courier New" w:cs="Courier New" w:hint="default"/>
      </w:rPr>
    </w:lvl>
    <w:lvl w:ilvl="2" w:tplc="5F269CE6" w:tentative="1">
      <w:start w:val="1"/>
      <w:numFmt w:val="bullet"/>
      <w:lvlText w:val=""/>
      <w:lvlJc w:val="left"/>
      <w:pPr>
        <w:ind w:left="2160" w:hanging="360"/>
      </w:pPr>
      <w:rPr>
        <w:rFonts w:ascii="Wingdings" w:hAnsi="Wingdings" w:hint="default"/>
      </w:rPr>
    </w:lvl>
    <w:lvl w:ilvl="3" w:tplc="A9025F68" w:tentative="1">
      <w:start w:val="1"/>
      <w:numFmt w:val="bullet"/>
      <w:lvlText w:val=""/>
      <w:lvlJc w:val="left"/>
      <w:pPr>
        <w:ind w:left="2880" w:hanging="360"/>
      </w:pPr>
      <w:rPr>
        <w:rFonts w:ascii="Symbol" w:hAnsi="Symbol" w:hint="default"/>
      </w:rPr>
    </w:lvl>
    <w:lvl w:ilvl="4" w:tplc="745A14FC" w:tentative="1">
      <w:start w:val="1"/>
      <w:numFmt w:val="bullet"/>
      <w:lvlText w:val="o"/>
      <w:lvlJc w:val="left"/>
      <w:pPr>
        <w:ind w:left="3600" w:hanging="360"/>
      </w:pPr>
      <w:rPr>
        <w:rFonts w:ascii="Courier New" w:hAnsi="Courier New" w:cs="Courier New" w:hint="default"/>
      </w:rPr>
    </w:lvl>
    <w:lvl w:ilvl="5" w:tplc="6AF0D932" w:tentative="1">
      <w:start w:val="1"/>
      <w:numFmt w:val="bullet"/>
      <w:lvlText w:val=""/>
      <w:lvlJc w:val="left"/>
      <w:pPr>
        <w:ind w:left="4320" w:hanging="360"/>
      </w:pPr>
      <w:rPr>
        <w:rFonts w:ascii="Wingdings" w:hAnsi="Wingdings" w:hint="default"/>
      </w:rPr>
    </w:lvl>
    <w:lvl w:ilvl="6" w:tplc="DBC0E290" w:tentative="1">
      <w:start w:val="1"/>
      <w:numFmt w:val="bullet"/>
      <w:lvlText w:val=""/>
      <w:lvlJc w:val="left"/>
      <w:pPr>
        <w:ind w:left="5040" w:hanging="360"/>
      </w:pPr>
      <w:rPr>
        <w:rFonts w:ascii="Symbol" w:hAnsi="Symbol" w:hint="default"/>
      </w:rPr>
    </w:lvl>
    <w:lvl w:ilvl="7" w:tplc="4A8E9E48" w:tentative="1">
      <w:start w:val="1"/>
      <w:numFmt w:val="bullet"/>
      <w:lvlText w:val="o"/>
      <w:lvlJc w:val="left"/>
      <w:pPr>
        <w:ind w:left="5760" w:hanging="360"/>
      </w:pPr>
      <w:rPr>
        <w:rFonts w:ascii="Courier New" w:hAnsi="Courier New" w:cs="Courier New" w:hint="default"/>
      </w:rPr>
    </w:lvl>
    <w:lvl w:ilvl="8" w:tplc="C96480F2" w:tentative="1">
      <w:start w:val="1"/>
      <w:numFmt w:val="bullet"/>
      <w:lvlText w:val=""/>
      <w:lvlJc w:val="left"/>
      <w:pPr>
        <w:ind w:left="6480" w:hanging="360"/>
      </w:pPr>
      <w:rPr>
        <w:rFonts w:ascii="Wingdings" w:hAnsi="Wingdings" w:hint="default"/>
      </w:rPr>
    </w:lvl>
  </w:abstractNum>
  <w:abstractNum w:abstractNumId="52" w15:restartNumberingAfterBreak="0">
    <w:nsid w:val="5D0E370E"/>
    <w:multiLevelType w:val="multilevel"/>
    <w:tmpl w:val="8892ACDC"/>
    <w:styleLink w:val="BodyTextNumbering"/>
    <w:lvl w:ilvl="0">
      <w:start w:val="1"/>
      <w:numFmt w:val="decimal"/>
      <w:pStyle w:val="BodyText1Number"/>
      <w:lvlText w:val="%1."/>
      <w:lvlJc w:val="left"/>
      <w:pPr>
        <w:ind w:left="360" w:hanging="360"/>
      </w:pPr>
      <w:rPr>
        <w:rFonts w:hint="default"/>
      </w:rPr>
    </w:lvl>
    <w:lvl w:ilvl="1">
      <w:start w:val="1"/>
      <w:numFmt w:val="lowerLetter"/>
      <w:pStyle w:val="BodyText2Letter"/>
      <w:lvlText w:val="%2."/>
      <w:lvlJc w:val="left"/>
      <w:pPr>
        <w:ind w:left="720" w:hanging="360"/>
      </w:pPr>
      <w:rPr>
        <w:rFonts w:hint="default"/>
      </w:rPr>
    </w:lvl>
    <w:lvl w:ilvl="2">
      <w:start w:val="1"/>
      <w:numFmt w:val="lowerRoman"/>
      <w:pStyle w:val="BodyText3Roman"/>
      <w:lvlText w:val="%3."/>
      <w:lvlJc w:val="left"/>
      <w:pPr>
        <w:ind w:left="1072" w:hanging="358"/>
      </w:pPr>
      <w:rPr>
        <w:rFonts w:hint="default"/>
      </w:rPr>
    </w:lvl>
    <w:lvl w:ilvl="3">
      <w:start w:val="1"/>
      <w:numFmt w:val="decimal"/>
      <w:pStyle w:val="BodyText4Number"/>
      <w:lvlText w:val="%4)"/>
      <w:lvlJc w:val="left"/>
      <w:pPr>
        <w:ind w:left="1429"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5DF67345"/>
    <w:multiLevelType w:val="hybridMultilevel"/>
    <w:tmpl w:val="BD6429AC"/>
    <w:lvl w:ilvl="0" w:tplc="1E0CF184">
      <w:start w:val="1"/>
      <w:numFmt w:val="bullet"/>
      <w:lvlText w:val=""/>
      <w:lvlJc w:val="left"/>
      <w:pPr>
        <w:ind w:left="720" w:hanging="360"/>
      </w:pPr>
      <w:rPr>
        <w:rFonts w:ascii="Symbol" w:hAnsi="Symbol" w:hint="default"/>
        <w:sz w:val="16"/>
      </w:rPr>
    </w:lvl>
    <w:lvl w:ilvl="1" w:tplc="FB860BDC" w:tentative="1">
      <w:start w:val="1"/>
      <w:numFmt w:val="bullet"/>
      <w:lvlText w:val="o"/>
      <w:lvlJc w:val="left"/>
      <w:pPr>
        <w:ind w:left="1440" w:hanging="360"/>
      </w:pPr>
      <w:rPr>
        <w:rFonts w:ascii="Courier New" w:hAnsi="Courier New" w:cs="Courier New" w:hint="default"/>
      </w:rPr>
    </w:lvl>
    <w:lvl w:ilvl="2" w:tplc="685610CA" w:tentative="1">
      <w:start w:val="1"/>
      <w:numFmt w:val="bullet"/>
      <w:lvlText w:val=""/>
      <w:lvlJc w:val="left"/>
      <w:pPr>
        <w:ind w:left="2160" w:hanging="360"/>
      </w:pPr>
      <w:rPr>
        <w:rFonts w:ascii="Wingdings" w:hAnsi="Wingdings" w:hint="default"/>
      </w:rPr>
    </w:lvl>
    <w:lvl w:ilvl="3" w:tplc="61A80186" w:tentative="1">
      <w:start w:val="1"/>
      <w:numFmt w:val="bullet"/>
      <w:lvlText w:val=""/>
      <w:lvlJc w:val="left"/>
      <w:pPr>
        <w:ind w:left="2880" w:hanging="360"/>
      </w:pPr>
      <w:rPr>
        <w:rFonts w:ascii="Symbol" w:hAnsi="Symbol" w:hint="default"/>
      </w:rPr>
    </w:lvl>
    <w:lvl w:ilvl="4" w:tplc="BE94ED9C" w:tentative="1">
      <w:start w:val="1"/>
      <w:numFmt w:val="bullet"/>
      <w:lvlText w:val="o"/>
      <w:lvlJc w:val="left"/>
      <w:pPr>
        <w:ind w:left="3600" w:hanging="360"/>
      </w:pPr>
      <w:rPr>
        <w:rFonts w:ascii="Courier New" w:hAnsi="Courier New" w:cs="Courier New" w:hint="default"/>
      </w:rPr>
    </w:lvl>
    <w:lvl w:ilvl="5" w:tplc="0B703836" w:tentative="1">
      <w:start w:val="1"/>
      <w:numFmt w:val="bullet"/>
      <w:lvlText w:val=""/>
      <w:lvlJc w:val="left"/>
      <w:pPr>
        <w:ind w:left="4320" w:hanging="360"/>
      </w:pPr>
      <w:rPr>
        <w:rFonts w:ascii="Wingdings" w:hAnsi="Wingdings" w:hint="default"/>
      </w:rPr>
    </w:lvl>
    <w:lvl w:ilvl="6" w:tplc="E4B48622" w:tentative="1">
      <w:start w:val="1"/>
      <w:numFmt w:val="bullet"/>
      <w:lvlText w:val=""/>
      <w:lvlJc w:val="left"/>
      <w:pPr>
        <w:ind w:left="5040" w:hanging="360"/>
      </w:pPr>
      <w:rPr>
        <w:rFonts w:ascii="Symbol" w:hAnsi="Symbol" w:hint="default"/>
      </w:rPr>
    </w:lvl>
    <w:lvl w:ilvl="7" w:tplc="3BBA9F38" w:tentative="1">
      <w:start w:val="1"/>
      <w:numFmt w:val="bullet"/>
      <w:lvlText w:val="o"/>
      <w:lvlJc w:val="left"/>
      <w:pPr>
        <w:ind w:left="5760" w:hanging="360"/>
      </w:pPr>
      <w:rPr>
        <w:rFonts w:ascii="Courier New" w:hAnsi="Courier New" w:cs="Courier New" w:hint="default"/>
      </w:rPr>
    </w:lvl>
    <w:lvl w:ilvl="8" w:tplc="A4C0FF36" w:tentative="1">
      <w:start w:val="1"/>
      <w:numFmt w:val="bullet"/>
      <w:lvlText w:val=""/>
      <w:lvlJc w:val="left"/>
      <w:pPr>
        <w:ind w:left="6480" w:hanging="360"/>
      </w:pPr>
      <w:rPr>
        <w:rFonts w:ascii="Wingdings" w:hAnsi="Wingdings" w:hint="default"/>
      </w:rPr>
    </w:lvl>
  </w:abstractNum>
  <w:abstractNum w:abstractNumId="54" w15:restartNumberingAfterBreak="0">
    <w:nsid w:val="5E622323"/>
    <w:multiLevelType w:val="hybridMultilevel"/>
    <w:tmpl w:val="5F92C688"/>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3230E7C"/>
    <w:multiLevelType w:val="hybridMultilevel"/>
    <w:tmpl w:val="1988CF56"/>
    <w:lvl w:ilvl="0" w:tplc="843C8106">
      <w:start w:val="1"/>
      <w:numFmt w:val="decimal"/>
      <w:pStyle w:val="Footnote"/>
      <w:lvlText w:val="%1"/>
      <w:lvlJc w:val="left"/>
      <w:pPr>
        <w:ind w:left="360" w:hanging="360"/>
      </w:pPr>
      <w:rPr>
        <w:rFonts w:ascii="Jacobs Chronos Light" w:hAnsi="Jacobs Chronos Light" w:hint="default"/>
        <w:b w:val="0"/>
        <w:i w:val="0"/>
        <w:caps w:val="0"/>
        <w:strike w:val="0"/>
        <w:dstrike w:val="0"/>
        <w:vanish w:val="0"/>
        <w:color w:val="auto"/>
        <w:sz w:val="16"/>
        <w:vertAlign w:val="superscrip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6" w15:restartNumberingAfterBreak="0">
    <w:nsid w:val="69E24B6B"/>
    <w:multiLevelType w:val="multilevel"/>
    <w:tmpl w:val="0D049A4A"/>
    <w:lvl w:ilvl="0">
      <w:start w:val="1"/>
      <w:numFmt w:val="decimal"/>
      <w:pStyle w:val="PhotologNumber"/>
      <w:suff w:val="space"/>
      <w:lvlText w:val="Photograph %1:"/>
      <w:lvlJc w:val="left"/>
      <w:pPr>
        <w:ind w:left="0" w:firstLine="0"/>
      </w:pPr>
      <w:rPr>
        <w:rFonts w:asciiTheme="majorHAnsi" w:hAnsiTheme="majorHAnsi" w:hint="default"/>
        <w:b/>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6E2A1393"/>
    <w:multiLevelType w:val="multilevel"/>
    <w:tmpl w:val="3034C340"/>
    <w:lvl w:ilvl="0">
      <w:start w:val="1"/>
      <w:numFmt w:val="bullet"/>
      <w:lvlText w:val=""/>
      <w:lvlJc w:val="left"/>
      <w:pPr>
        <w:ind w:left="284" w:hanging="284"/>
      </w:pPr>
      <w:rPr>
        <w:rFonts w:ascii="Symbol" w:hAnsi="Symbol" w:hint="default"/>
        <w:sz w:val="16"/>
      </w:rPr>
    </w:lvl>
    <w:lvl w:ilvl="1">
      <w:start w:val="1"/>
      <w:numFmt w:val="bullet"/>
      <w:lvlText w:val="-"/>
      <w:lvlJc w:val="left"/>
      <w:pPr>
        <w:ind w:left="567" w:hanging="283"/>
      </w:pPr>
      <w:rPr>
        <w:rFonts w:ascii="Arial" w:hAnsi="Arial" w:cs="Arial" w:hint="default"/>
      </w:rPr>
    </w:lvl>
    <w:lvl w:ilvl="2">
      <w:start w:val="1"/>
      <w:numFmt w:val="bullet"/>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78274333"/>
    <w:multiLevelType w:val="multilevel"/>
    <w:tmpl w:val="531CB01E"/>
    <w:numStyleLink w:val="TableNumbers"/>
  </w:abstractNum>
  <w:abstractNum w:abstractNumId="59" w15:restartNumberingAfterBreak="0">
    <w:nsid w:val="799816C1"/>
    <w:multiLevelType w:val="hybridMultilevel"/>
    <w:tmpl w:val="5198C150"/>
    <w:lvl w:ilvl="0" w:tplc="6AFE0BE2">
      <w:start w:val="1"/>
      <w:numFmt w:val="bullet"/>
      <w:lvlText w:val=""/>
      <w:lvlJc w:val="left"/>
      <w:pPr>
        <w:ind w:left="720" w:hanging="360"/>
      </w:pPr>
      <w:rPr>
        <w:rFonts w:ascii="Symbol" w:hAnsi="Symbol" w:hint="default"/>
        <w:sz w:val="16"/>
      </w:rPr>
    </w:lvl>
    <w:lvl w:ilvl="1" w:tplc="361C3198" w:tentative="1">
      <w:start w:val="1"/>
      <w:numFmt w:val="bullet"/>
      <w:lvlText w:val="o"/>
      <w:lvlJc w:val="left"/>
      <w:pPr>
        <w:ind w:left="1440" w:hanging="360"/>
      </w:pPr>
      <w:rPr>
        <w:rFonts w:ascii="Courier New" w:hAnsi="Courier New" w:cs="Courier New" w:hint="default"/>
      </w:rPr>
    </w:lvl>
    <w:lvl w:ilvl="2" w:tplc="051A1E24" w:tentative="1">
      <w:start w:val="1"/>
      <w:numFmt w:val="bullet"/>
      <w:lvlText w:val=""/>
      <w:lvlJc w:val="left"/>
      <w:pPr>
        <w:ind w:left="2160" w:hanging="360"/>
      </w:pPr>
      <w:rPr>
        <w:rFonts w:ascii="Wingdings" w:hAnsi="Wingdings" w:hint="default"/>
      </w:rPr>
    </w:lvl>
    <w:lvl w:ilvl="3" w:tplc="B970A53E" w:tentative="1">
      <w:start w:val="1"/>
      <w:numFmt w:val="bullet"/>
      <w:lvlText w:val=""/>
      <w:lvlJc w:val="left"/>
      <w:pPr>
        <w:ind w:left="2880" w:hanging="360"/>
      </w:pPr>
      <w:rPr>
        <w:rFonts w:ascii="Symbol" w:hAnsi="Symbol" w:hint="default"/>
      </w:rPr>
    </w:lvl>
    <w:lvl w:ilvl="4" w:tplc="EEEA0B02" w:tentative="1">
      <w:start w:val="1"/>
      <w:numFmt w:val="bullet"/>
      <w:lvlText w:val="o"/>
      <w:lvlJc w:val="left"/>
      <w:pPr>
        <w:ind w:left="3600" w:hanging="360"/>
      </w:pPr>
      <w:rPr>
        <w:rFonts w:ascii="Courier New" w:hAnsi="Courier New" w:cs="Courier New" w:hint="default"/>
      </w:rPr>
    </w:lvl>
    <w:lvl w:ilvl="5" w:tplc="9AA65770" w:tentative="1">
      <w:start w:val="1"/>
      <w:numFmt w:val="bullet"/>
      <w:lvlText w:val=""/>
      <w:lvlJc w:val="left"/>
      <w:pPr>
        <w:ind w:left="4320" w:hanging="360"/>
      </w:pPr>
      <w:rPr>
        <w:rFonts w:ascii="Wingdings" w:hAnsi="Wingdings" w:hint="default"/>
      </w:rPr>
    </w:lvl>
    <w:lvl w:ilvl="6" w:tplc="B4780664" w:tentative="1">
      <w:start w:val="1"/>
      <w:numFmt w:val="bullet"/>
      <w:lvlText w:val=""/>
      <w:lvlJc w:val="left"/>
      <w:pPr>
        <w:ind w:left="5040" w:hanging="360"/>
      </w:pPr>
      <w:rPr>
        <w:rFonts w:ascii="Symbol" w:hAnsi="Symbol" w:hint="default"/>
      </w:rPr>
    </w:lvl>
    <w:lvl w:ilvl="7" w:tplc="8AE84690" w:tentative="1">
      <w:start w:val="1"/>
      <w:numFmt w:val="bullet"/>
      <w:lvlText w:val="o"/>
      <w:lvlJc w:val="left"/>
      <w:pPr>
        <w:ind w:left="5760" w:hanging="360"/>
      </w:pPr>
      <w:rPr>
        <w:rFonts w:ascii="Courier New" w:hAnsi="Courier New" w:cs="Courier New" w:hint="default"/>
      </w:rPr>
    </w:lvl>
    <w:lvl w:ilvl="8" w:tplc="7F9019CA" w:tentative="1">
      <w:start w:val="1"/>
      <w:numFmt w:val="bullet"/>
      <w:lvlText w:val=""/>
      <w:lvlJc w:val="left"/>
      <w:pPr>
        <w:ind w:left="6480" w:hanging="360"/>
      </w:pPr>
      <w:rPr>
        <w:rFonts w:ascii="Wingdings" w:hAnsi="Wingdings" w:hint="default"/>
      </w:rPr>
    </w:lvl>
  </w:abstractNum>
  <w:abstractNum w:abstractNumId="60" w15:restartNumberingAfterBreak="0">
    <w:nsid w:val="7BA81C76"/>
    <w:multiLevelType w:val="multilevel"/>
    <w:tmpl w:val="1FC64CFC"/>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BD455B9"/>
    <w:multiLevelType w:val="multilevel"/>
    <w:tmpl w:val="F7EA60DA"/>
    <w:styleLink w:val="AppendixHeadings"/>
    <w:lvl w:ilvl="0">
      <w:start w:val="4"/>
      <w:numFmt w:val="upperLetter"/>
      <w:pStyle w:val="AppendixHeading1"/>
      <w:suff w:val="space"/>
      <w:lvlText w:val="Appendix %1."/>
      <w:lvlJc w:val="left"/>
      <w:pPr>
        <w:ind w:left="1985" w:hanging="1985"/>
      </w:pPr>
      <w:rPr>
        <w:rFonts w:hint="default"/>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7D200849"/>
    <w:multiLevelType w:val="hybridMultilevel"/>
    <w:tmpl w:val="2594EE84"/>
    <w:lvl w:ilvl="0" w:tplc="1C761F32">
      <w:start w:val="1"/>
      <w:numFmt w:val="bullet"/>
      <w:lvlText w:val=""/>
      <w:lvlJc w:val="left"/>
      <w:pPr>
        <w:ind w:left="720" w:hanging="360"/>
      </w:pPr>
      <w:rPr>
        <w:rFonts w:ascii="Symbol" w:hAnsi="Symbol" w:hint="default"/>
        <w:sz w:val="16"/>
      </w:rPr>
    </w:lvl>
    <w:lvl w:ilvl="1" w:tplc="2954D412" w:tentative="1">
      <w:start w:val="1"/>
      <w:numFmt w:val="bullet"/>
      <w:lvlText w:val="o"/>
      <w:lvlJc w:val="left"/>
      <w:pPr>
        <w:ind w:left="1440" w:hanging="360"/>
      </w:pPr>
      <w:rPr>
        <w:rFonts w:ascii="Courier New" w:hAnsi="Courier New" w:cs="Courier New" w:hint="default"/>
      </w:rPr>
    </w:lvl>
    <w:lvl w:ilvl="2" w:tplc="4F34DAD4" w:tentative="1">
      <w:start w:val="1"/>
      <w:numFmt w:val="bullet"/>
      <w:lvlText w:val=""/>
      <w:lvlJc w:val="left"/>
      <w:pPr>
        <w:ind w:left="2160" w:hanging="360"/>
      </w:pPr>
      <w:rPr>
        <w:rFonts w:ascii="Wingdings" w:hAnsi="Wingdings" w:hint="default"/>
      </w:rPr>
    </w:lvl>
    <w:lvl w:ilvl="3" w:tplc="768E84F6" w:tentative="1">
      <w:start w:val="1"/>
      <w:numFmt w:val="bullet"/>
      <w:lvlText w:val=""/>
      <w:lvlJc w:val="left"/>
      <w:pPr>
        <w:ind w:left="2880" w:hanging="360"/>
      </w:pPr>
      <w:rPr>
        <w:rFonts w:ascii="Symbol" w:hAnsi="Symbol" w:hint="default"/>
      </w:rPr>
    </w:lvl>
    <w:lvl w:ilvl="4" w:tplc="7702F142" w:tentative="1">
      <w:start w:val="1"/>
      <w:numFmt w:val="bullet"/>
      <w:lvlText w:val="o"/>
      <w:lvlJc w:val="left"/>
      <w:pPr>
        <w:ind w:left="3600" w:hanging="360"/>
      </w:pPr>
      <w:rPr>
        <w:rFonts w:ascii="Courier New" w:hAnsi="Courier New" w:cs="Courier New" w:hint="default"/>
      </w:rPr>
    </w:lvl>
    <w:lvl w:ilvl="5" w:tplc="F74CBAD2" w:tentative="1">
      <w:start w:val="1"/>
      <w:numFmt w:val="bullet"/>
      <w:lvlText w:val=""/>
      <w:lvlJc w:val="left"/>
      <w:pPr>
        <w:ind w:left="4320" w:hanging="360"/>
      </w:pPr>
      <w:rPr>
        <w:rFonts w:ascii="Wingdings" w:hAnsi="Wingdings" w:hint="default"/>
      </w:rPr>
    </w:lvl>
    <w:lvl w:ilvl="6" w:tplc="9A36A608" w:tentative="1">
      <w:start w:val="1"/>
      <w:numFmt w:val="bullet"/>
      <w:lvlText w:val=""/>
      <w:lvlJc w:val="left"/>
      <w:pPr>
        <w:ind w:left="5040" w:hanging="360"/>
      </w:pPr>
      <w:rPr>
        <w:rFonts w:ascii="Symbol" w:hAnsi="Symbol" w:hint="default"/>
      </w:rPr>
    </w:lvl>
    <w:lvl w:ilvl="7" w:tplc="2D6286D4" w:tentative="1">
      <w:start w:val="1"/>
      <w:numFmt w:val="bullet"/>
      <w:lvlText w:val="o"/>
      <w:lvlJc w:val="left"/>
      <w:pPr>
        <w:ind w:left="5760" w:hanging="360"/>
      </w:pPr>
      <w:rPr>
        <w:rFonts w:ascii="Courier New" w:hAnsi="Courier New" w:cs="Courier New" w:hint="default"/>
      </w:rPr>
    </w:lvl>
    <w:lvl w:ilvl="8" w:tplc="191003D4"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45"/>
  </w:num>
  <w:num w:numId="4">
    <w:abstractNumId w:val="55"/>
  </w:num>
  <w:num w:numId="5">
    <w:abstractNumId w:val="28"/>
  </w:num>
  <w:num w:numId="6">
    <w:abstractNumId w:val="35"/>
  </w:num>
  <w:num w:numId="7">
    <w:abstractNumId w:val="1"/>
  </w:num>
  <w:num w:numId="8">
    <w:abstractNumId w:val="3"/>
  </w:num>
  <w:num w:numId="9">
    <w:abstractNumId w:val="44"/>
  </w:num>
  <w:num w:numId="10">
    <w:abstractNumId w:val="37"/>
  </w:num>
  <w:num w:numId="11">
    <w:abstractNumId w:val="41"/>
  </w:num>
  <w:num w:numId="12">
    <w:abstractNumId w:val="10"/>
  </w:num>
  <w:num w:numId="13">
    <w:abstractNumId w:val="14"/>
  </w:num>
  <w:num w:numId="14">
    <w:abstractNumId w:val="0"/>
  </w:num>
  <w:num w:numId="15">
    <w:abstractNumId w:val="46"/>
  </w:num>
  <w:num w:numId="16">
    <w:abstractNumId w:val="38"/>
  </w:num>
  <w:num w:numId="17">
    <w:abstractNumId w:val="18"/>
  </w:num>
  <w:num w:numId="18">
    <w:abstractNumId w:val="61"/>
  </w:num>
  <w:num w:numId="19">
    <w:abstractNumId w:val="6"/>
  </w:num>
  <w:num w:numId="20">
    <w:abstractNumId w:val="2"/>
  </w:num>
  <w:num w:numId="21">
    <w:abstractNumId w:val="23"/>
  </w:num>
  <w:num w:numId="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2"/>
  </w:num>
  <w:num w:numId="25">
    <w:abstractNumId w:val="7"/>
  </w:num>
  <w:num w:numId="26">
    <w:abstractNumId w:val="20"/>
  </w:num>
  <w:num w:numId="27">
    <w:abstractNumId w:val="56"/>
  </w:num>
  <w:num w:numId="28">
    <w:abstractNumId w:val="17"/>
  </w:num>
  <w:num w:numId="29">
    <w:abstractNumId w:val="48"/>
  </w:num>
  <w:num w:numId="30">
    <w:abstractNumId w:val="58"/>
  </w:num>
  <w:num w:numId="31">
    <w:abstractNumId w:val="24"/>
    <w:lvlOverride w:ilvl="0">
      <w:lvl w:ilvl="0">
        <w:start w:val="1"/>
        <w:numFmt w:val="bullet"/>
        <w:pStyle w:val="BulletLevel1"/>
        <w:lvlText w:val=""/>
        <w:lvlJc w:val="left"/>
        <w:pPr>
          <w:ind w:left="284" w:hanging="284"/>
        </w:pPr>
        <w:rPr>
          <w:rFonts w:ascii="Wingdings" w:hAnsi="Wingdings" w:cs="Times New Roman" w:hint="default"/>
          <w:sz w:val="20"/>
          <w:szCs w:val="20"/>
        </w:rPr>
      </w:lvl>
    </w:lvlOverride>
  </w:num>
  <w:num w:numId="32">
    <w:abstractNumId w:val="26"/>
  </w:num>
  <w:num w:numId="33">
    <w:abstractNumId w:val="12"/>
  </w:num>
  <w:num w:numId="34">
    <w:abstractNumId w:val="13"/>
  </w:num>
  <w:num w:numId="35">
    <w:abstractNumId w:val="27"/>
  </w:num>
  <w:num w:numId="36">
    <w:abstractNumId w:val="52"/>
  </w:num>
  <w:num w:numId="37">
    <w:abstractNumId w:val="61"/>
  </w:num>
  <w:num w:numId="38">
    <w:abstractNumId w:val="24"/>
  </w:num>
  <w:num w:numId="39">
    <w:abstractNumId w:val="42"/>
  </w:num>
  <w:num w:numId="40">
    <w:abstractNumId w:val="32"/>
  </w:num>
  <w:num w:numId="41">
    <w:abstractNumId w:val="16"/>
  </w:num>
  <w:num w:numId="42">
    <w:abstractNumId w:val="34"/>
  </w:num>
  <w:num w:numId="43">
    <w:abstractNumId w:val="25"/>
  </w:num>
  <w:num w:numId="44">
    <w:abstractNumId w:val="33"/>
  </w:num>
  <w:num w:numId="45">
    <w:abstractNumId w:val="36"/>
  </w:num>
  <w:num w:numId="46">
    <w:abstractNumId w:val="47"/>
  </w:num>
  <w:num w:numId="47">
    <w:abstractNumId w:val="49"/>
  </w:num>
  <w:num w:numId="48">
    <w:abstractNumId w:val="30"/>
  </w:num>
  <w:num w:numId="49">
    <w:abstractNumId w:val="11"/>
  </w:num>
  <w:num w:numId="50">
    <w:abstractNumId w:val="60"/>
  </w:num>
  <w:num w:numId="51">
    <w:abstractNumId w:val="19"/>
  </w:num>
  <w:num w:numId="52">
    <w:abstractNumId w:val="50"/>
  </w:num>
  <w:num w:numId="53">
    <w:abstractNumId w:val="31"/>
  </w:num>
  <w:num w:numId="54">
    <w:abstractNumId w:val="39"/>
  </w:num>
  <w:num w:numId="55">
    <w:abstractNumId w:val="62"/>
  </w:num>
  <w:num w:numId="56">
    <w:abstractNumId w:val="54"/>
  </w:num>
  <w:num w:numId="57">
    <w:abstractNumId w:val="53"/>
  </w:num>
  <w:num w:numId="58">
    <w:abstractNumId w:val="21"/>
  </w:num>
  <w:num w:numId="59">
    <w:abstractNumId w:val="51"/>
  </w:num>
  <w:num w:numId="60">
    <w:abstractNumId w:val="59"/>
  </w:num>
  <w:num w:numId="61">
    <w:abstractNumId w:val="43"/>
  </w:num>
  <w:num w:numId="62">
    <w:abstractNumId w:val="40"/>
  </w:num>
  <w:num w:numId="63">
    <w:abstractNumId w:val="29"/>
  </w:num>
  <w:num w:numId="64">
    <w:abstractNumId w:val="15"/>
  </w:num>
  <w:num w:numId="65">
    <w:abstractNumId w:val="57"/>
  </w:num>
  <w:num w:numId="66">
    <w:abstractNumId w:val="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44"/>
  <w:drawingGridVerticalSpacing w:val="144"/>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astSelectedNamespace" w:val="http://schemas.macroview.com.au/documentsettings"/>
  </w:docVars>
  <w:rsids>
    <w:rsidRoot w:val="00A30B01"/>
    <w:rsid w:val="00000004"/>
    <w:rsid w:val="0000134C"/>
    <w:rsid w:val="00001411"/>
    <w:rsid w:val="00001FD9"/>
    <w:rsid w:val="00002088"/>
    <w:rsid w:val="00002385"/>
    <w:rsid w:val="000025F2"/>
    <w:rsid w:val="0000271B"/>
    <w:rsid w:val="00002D39"/>
    <w:rsid w:val="00003E2F"/>
    <w:rsid w:val="00004BA2"/>
    <w:rsid w:val="00005237"/>
    <w:rsid w:val="000058A6"/>
    <w:rsid w:val="00011C24"/>
    <w:rsid w:val="0001212E"/>
    <w:rsid w:val="0001236B"/>
    <w:rsid w:val="000144C5"/>
    <w:rsid w:val="00014982"/>
    <w:rsid w:val="00014BA8"/>
    <w:rsid w:val="0001754F"/>
    <w:rsid w:val="00017B6A"/>
    <w:rsid w:val="00017D9E"/>
    <w:rsid w:val="00020196"/>
    <w:rsid w:val="00020DB3"/>
    <w:rsid w:val="000214FF"/>
    <w:rsid w:val="00021CB2"/>
    <w:rsid w:val="0002443C"/>
    <w:rsid w:val="000252D8"/>
    <w:rsid w:val="00025ACF"/>
    <w:rsid w:val="0002782F"/>
    <w:rsid w:val="00027BCB"/>
    <w:rsid w:val="00030B48"/>
    <w:rsid w:val="00031BE3"/>
    <w:rsid w:val="000328FC"/>
    <w:rsid w:val="000336DD"/>
    <w:rsid w:val="00034DBF"/>
    <w:rsid w:val="0003673F"/>
    <w:rsid w:val="00037BF1"/>
    <w:rsid w:val="00040549"/>
    <w:rsid w:val="00040F45"/>
    <w:rsid w:val="00043CAA"/>
    <w:rsid w:val="000445CE"/>
    <w:rsid w:val="000449AA"/>
    <w:rsid w:val="00045D54"/>
    <w:rsid w:val="00046130"/>
    <w:rsid w:val="00046317"/>
    <w:rsid w:val="000464CA"/>
    <w:rsid w:val="00046B55"/>
    <w:rsid w:val="000470D0"/>
    <w:rsid w:val="00047FAE"/>
    <w:rsid w:val="000504BB"/>
    <w:rsid w:val="00052C5D"/>
    <w:rsid w:val="000552B0"/>
    <w:rsid w:val="000562C7"/>
    <w:rsid w:val="00056878"/>
    <w:rsid w:val="000578C5"/>
    <w:rsid w:val="00060223"/>
    <w:rsid w:val="000608F9"/>
    <w:rsid w:val="00060C7A"/>
    <w:rsid w:val="00062303"/>
    <w:rsid w:val="00063687"/>
    <w:rsid w:val="00063973"/>
    <w:rsid w:val="00063E27"/>
    <w:rsid w:val="0006489E"/>
    <w:rsid w:val="00065515"/>
    <w:rsid w:val="00066DE7"/>
    <w:rsid w:val="000705AB"/>
    <w:rsid w:val="0007079A"/>
    <w:rsid w:val="00071A27"/>
    <w:rsid w:val="00072CFE"/>
    <w:rsid w:val="0007371B"/>
    <w:rsid w:val="00073FB3"/>
    <w:rsid w:val="00074886"/>
    <w:rsid w:val="000753C4"/>
    <w:rsid w:val="000761D9"/>
    <w:rsid w:val="000773B9"/>
    <w:rsid w:val="00080BB2"/>
    <w:rsid w:val="00081C55"/>
    <w:rsid w:val="000822F4"/>
    <w:rsid w:val="00082319"/>
    <w:rsid w:val="000825AA"/>
    <w:rsid w:val="00084A35"/>
    <w:rsid w:val="00090AF4"/>
    <w:rsid w:val="00090C5F"/>
    <w:rsid w:val="000913C5"/>
    <w:rsid w:val="00091CED"/>
    <w:rsid w:val="000938ED"/>
    <w:rsid w:val="00093F53"/>
    <w:rsid w:val="00095532"/>
    <w:rsid w:val="0009618B"/>
    <w:rsid w:val="000A254F"/>
    <w:rsid w:val="000A3C09"/>
    <w:rsid w:val="000A487E"/>
    <w:rsid w:val="000A5B6B"/>
    <w:rsid w:val="000B03DD"/>
    <w:rsid w:val="000B0ED1"/>
    <w:rsid w:val="000B132D"/>
    <w:rsid w:val="000B15CD"/>
    <w:rsid w:val="000B25A0"/>
    <w:rsid w:val="000B2C7C"/>
    <w:rsid w:val="000B36A8"/>
    <w:rsid w:val="000B3904"/>
    <w:rsid w:val="000B3A2A"/>
    <w:rsid w:val="000B3FC3"/>
    <w:rsid w:val="000B4645"/>
    <w:rsid w:val="000B64EE"/>
    <w:rsid w:val="000B67BF"/>
    <w:rsid w:val="000B7D73"/>
    <w:rsid w:val="000C019E"/>
    <w:rsid w:val="000C042E"/>
    <w:rsid w:val="000C163A"/>
    <w:rsid w:val="000C29F2"/>
    <w:rsid w:val="000C3440"/>
    <w:rsid w:val="000C4415"/>
    <w:rsid w:val="000C56DD"/>
    <w:rsid w:val="000C573C"/>
    <w:rsid w:val="000C5C9C"/>
    <w:rsid w:val="000C5F5A"/>
    <w:rsid w:val="000C74ED"/>
    <w:rsid w:val="000C78CC"/>
    <w:rsid w:val="000C7C60"/>
    <w:rsid w:val="000C7EE0"/>
    <w:rsid w:val="000D0371"/>
    <w:rsid w:val="000D201C"/>
    <w:rsid w:val="000D2D8B"/>
    <w:rsid w:val="000D3FC4"/>
    <w:rsid w:val="000D4976"/>
    <w:rsid w:val="000D59F6"/>
    <w:rsid w:val="000D6FF3"/>
    <w:rsid w:val="000E07DF"/>
    <w:rsid w:val="000E0EE9"/>
    <w:rsid w:val="000E3EF6"/>
    <w:rsid w:val="000E556F"/>
    <w:rsid w:val="000E62FF"/>
    <w:rsid w:val="000E7DC0"/>
    <w:rsid w:val="000F197C"/>
    <w:rsid w:val="000F1991"/>
    <w:rsid w:val="000F55EB"/>
    <w:rsid w:val="000F664B"/>
    <w:rsid w:val="000F7A9F"/>
    <w:rsid w:val="00100310"/>
    <w:rsid w:val="00100C07"/>
    <w:rsid w:val="00103BF0"/>
    <w:rsid w:val="001045FF"/>
    <w:rsid w:val="0010641A"/>
    <w:rsid w:val="00106706"/>
    <w:rsid w:val="00110248"/>
    <w:rsid w:val="00111D53"/>
    <w:rsid w:val="00111E71"/>
    <w:rsid w:val="0011206B"/>
    <w:rsid w:val="00112305"/>
    <w:rsid w:val="00113E36"/>
    <w:rsid w:val="0011559D"/>
    <w:rsid w:val="001160CB"/>
    <w:rsid w:val="0011747C"/>
    <w:rsid w:val="00117E89"/>
    <w:rsid w:val="00120563"/>
    <w:rsid w:val="001209EE"/>
    <w:rsid w:val="0012117E"/>
    <w:rsid w:val="0012290C"/>
    <w:rsid w:val="0012301A"/>
    <w:rsid w:val="001236D4"/>
    <w:rsid w:val="001264DF"/>
    <w:rsid w:val="001277DA"/>
    <w:rsid w:val="00127850"/>
    <w:rsid w:val="0012785F"/>
    <w:rsid w:val="00127BD7"/>
    <w:rsid w:val="00130240"/>
    <w:rsid w:val="00130BEC"/>
    <w:rsid w:val="00131DAB"/>
    <w:rsid w:val="00132114"/>
    <w:rsid w:val="0013485A"/>
    <w:rsid w:val="0013516F"/>
    <w:rsid w:val="00135334"/>
    <w:rsid w:val="00136205"/>
    <w:rsid w:val="00137C6A"/>
    <w:rsid w:val="00141007"/>
    <w:rsid w:val="00141E02"/>
    <w:rsid w:val="00142EAC"/>
    <w:rsid w:val="0014332E"/>
    <w:rsid w:val="0014421B"/>
    <w:rsid w:val="001465F2"/>
    <w:rsid w:val="0014665D"/>
    <w:rsid w:val="00146DF9"/>
    <w:rsid w:val="00147074"/>
    <w:rsid w:val="00147BC5"/>
    <w:rsid w:val="00147C51"/>
    <w:rsid w:val="00151007"/>
    <w:rsid w:val="00151348"/>
    <w:rsid w:val="00151F2C"/>
    <w:rsid w:val="00153A92"/>
    <w:rsid w:val="0015625F"/>
    <w:rsid w:val="0015726B"/>
    <w:rsid w:val="001575B1"/>
    <w:rsid w:val="00162741"/>
    <w:rsid w:val="001629AA"/>
    <w:rsid w:val="00162FA5"/>
    <w:rsid w:val="00163A3D"/>
    <w:rsid w:val="0016410C"/>
    <w:rsid w:val="00164AEF"/>
    <w:rsid w:val="00165C0A"/>
    <w:rsid w:val="001661E6"/>
    <w:rsid w:val="001674EA"/>
    <w:rsid w:val="001674ED"/>
    <w:rsid w:val="00167D32"/>
    <w:rsid w:val="0017168F"/>
    <w:rsid w:val="00171E08"/>
    <w:rsid w:val="001720FA"/>
    <w:rsid w:val="00172D90"/>
    <w:rsid w:val="00172EFF"/>
    <w:rsid w:val="0017508F"/>
    <w:rsid w:val="00180E39"/>
    <w:rsid w:val="00181EB8"/>
    <w:rsid w:val="00182D93"/>
    <w:rsid w:val="0018376C"/>
    <w:rsid w:val="00183AE5"/>
    <w:rsid w:val="00184234"/>
    <w:rsid w:val="00186011"/>
    <w:rsid w:val="0018700A"/>
    <w:rsid w:val="001870A7"/>
    <w:rsid w:val="001872E8"/>
    <w:rsid w:val="001953D7"/>
    <w:rsid w:val="001954A3"/>
    <w:rsid w:val="00195D2F"/>
    <w:rsid w:val="00195FD8"/>
    <w:rsid w:val="00197442"/>
    <w:rsid w:val="001A0019"/>
    <w:rsid w:val="001A119B"/>
    <w:rsid w:val="001A1566"/>
    <w:rsid w:val="001A1B45"/>
    <w:rsid w:val="001A294E"/>
    <w:rsid w:val="001A29C0"/>
    <w:rsid w:val="001A2A7F"/>
    <w:rsid w:val="001A2E89"/>
    <w:rsid w:val="001A3136"/>
    <w:rsid w:val="001A3F47"/>
    <w:rsid w:val="001A4D66"/>
    <w:rsid w:val="001B0645"/>
    <w:rsid w:val="001B0667"/>
    <w:rsid w:val="001B3EB2"/>
    <w:rsid w:val="001B4041"/>
    <w:rsid w:val="001B423D"/>
    <w:rsid w:val="001B426B"/>
    <w:rsid w:val="001B5641"/>
    <w:rsid w:val="001B5A6C"/>
    <w:rsid w:val="001B65D3"/>
    <w:rsid w:val="001B672C"/>
    <w:rsid w:val="001B68BA"/>
    <w:rsid w:val="001C03EB"/>
    <w:rsid w:val="001C2739"/>
    <w:rsid w:val="001C3765"/>
    <w:rsid w:val="001C5700"/>
    <w:rsid w:val="001C5BE9"/>
    <w:rsid w:val="001C602D"/>
    <w:rsid w:val="001C6E4A"/>
    <w:rsid w:val="001D02D6"/>
    <w:rsid w:val="001D0418"/>
    <w:rsid w:val="001D084C"/>
    <w:rsid w:val="001D15EE"/>
    <w:rsid w:val="001D34C7"/>
    <w:rsid w:val="001D3A7A"/>
    <w:rsid w:val="001D5396"/>
    <w:rsid w:val="001D54A9"/>
    <w:rsid w:val="001D6876"/>
    <w:rsid w:val="001D7D35"/>
    <w:rsid w:val="001E1A72"/>
    <w:rsid w:val="001E1BBF"/>
    <w:rsid w:val="001E271B"/>
    <w:rsid w:val="001E310A"/>
    <w:rsid w:val="001E316A"/>
    <w:rsid w:val="001E3DD9"/>
    <w:rsid w:val="001E4D95"/>
    <w:rsid w:val="001E624B"/>
    <w:rsid w:val="001F0E95"/>
    <w:rsid w:val="001F2281"/>
    <w:rsid w:val="001F381A"/>
    <w:rsid w:val="001F422E"/>
    <w:rsid w:val="001F4527"/>
    <w:rsid w:val="001F45E5"/>
    <w:rsid w:val="001F5219"/>
    <w:rsid w:val="001F64C0"/>
    <w:rsid w:val="001F66EC"/>
    <w:rsid w:val="001F6B32"/>
    <w:rsid w:val="001F6DCD"/>
    <w:rsid w:val="001F77B3"/>
    <w:rsid w:val="0020004D"/>
    <w:rsid w:val="00200144"/>
    <w:rsid w:val="0020292F"/>
    <w:rsid w:val="002051D6"/>
    <w:rsid w:val="0021064A"/>
    <w:rsid w:val="00211A29"/>
    <w:rsid w:val="00213687"/>
    <w:rsid w:val="002149D0"/>
    <w:rsid w:val="0021564E"/>
    <w:rsid w:val="0021587F"/>
    <w:rsid w:val="00220778"/>
    <w:rsid w:val="00220AFD"/>
    <w:rsid w:val="00222F57"/>
    <w:rsid w:val="00223A3A"/>
    <w:rsid w:val="00224F74"/>
    <w:rsid w:val="0022502A"/>
    <w:rsid w:val="002259FD"/>
    <w:rsid w:val="00226F76"/>
    <w:rsid w:val="0023016D"/>
    <w:rsid w:val="00231399"/>
    <w:rsid w:val="002317EC"/>
    <w:rsid w:val="00231833"/>
    <w:rsid w:val="00231AA0"/>
    <w:rsid w:val="00232471"/>
    <w:rsid w:val="00233F55"/>
    <w:rsid w:val="00235444"/>
    <w:rsid w:val="00236C1E"/>
    <w:rsid w:val="002376B9"/>
    <w:rsid w:val="002379D5"/>
    <w:rsid w:val="002400DB"/>
    <w:rsid w:val="002426FE"/>
    <w:rsid w:val="00242B7E"/>
    <w:rsid w:val="002446C0"/>
    <w:rsid w:val="00244FF8"/>
    <w:rsid w:val="002471A3"/>
    <w:rsid w:val="002500F5"/>
    <w:rsid w:val="00250342"/>
    <w:rsid w:val="00253F47"/>
    <w:rsid w:val="00254DDE"/>
    <w:rsid w:val="002564F8"/>
    <w:rsid w:val="00261760"/>
    <w:rsid w:val="00261D77"/>
    <w:rsid w:val="002627A6"/>
    <w:rsid w:val="00263E34"/>
    <w:rsid w:val="002652B5"/>
    <w:rsid w:val="00265993"/>
    <w:rsid w:val="002667C9"/>
    <w:rsid w:val="00266BD5"/>
    <w:rsid w:val="00266C2E"/>
    <w:rsid w:val="00267FA8"/>
    <w:rsid w:val="00270235"/>
    <w:rsid w:val="00270681"/>
    <w:rsid w:val="00270C5E"/>
    <w:rsid w:val="00271B2E"/>
    <w:rsid w:val="00271BBA"/>
    <w:rsid w:val="00272A4F"/>
    <w:rsid w:val="002734C3"/>
    <w:rsid w:val="002779C6"/>
    <w:rsid w:val="00277B66"/>
    <w:rsid w:val="00280E37"/>
    <w:rsid w:val="00283E64"/>
    <w:rsid w:val="002844EB"/>
    <w:rsid w:val="002858E3"/>
    <w:rsid w:val="00285E35"/>
    <w:rsid w:val="00286484"/>
    <w:rsid w:val="00286AB4"/>
    <w:rsid w:val="002870B9"/>
    <w:rsid w:val="00287783"/>
    <w:rsid w:val="00287A8A"/>
    <w:rsid w:val="00290D1E"/>
    <w:rsid w:val="0029179C"/>
    <w:rsid w:val="00291EBB"/>
    <w:rsid w:val="0029464D"/>
    <w:rsid w:val="00294874"/>
    <w:rsid w:val="00296AFD"/>
    <w:rsid w:val="00296BEE"/>
    <w:rsid w:val="002972FE"/>
    <w:rsid w:val="002978C8"/>
    <w:rsid w:val="002A0442"/>
    <w:rsid w:val="002A0C7E"/>
    <w:rsid w:val="002A0CF6"/>
    <w:rsid w:val="002A20D6"/>
    <w:rsid w:val="002A30D1"/>
    <w:rsid w:val="002A3B29"/>
    <w:rsid w:val="002A4456"/>
    <w:rsid w:val="002B1721"/>
    <w:rsid w:val="002B3522"/>
    <w:rsid w:val="002B38F3"/>
    <w:rsid w:val="002B3AE6"/>
    <w:rsid w:val="002B453B"/>
    <w:rsid w:val="002B4EB6"/>
    <w:rsid w:val="002B5A44"/>
    <w:rsid w:val="002B6869"/>
    <w:rsid w:val="002B74C4"/>
    <w:rsid w:val="002C21B7"/>
    <w:rsid w:val="002C2BF2"/>
    <w:rsid w:val="002C57F5"/>
    <w:rsid w:val="002C5D6A"/>
    <w:rsid w:val="002C6ED1"/>
    <w:rsid w:val="002C74EF"/>
    <w:rsid w:val="002D03CC"/>
    <w:rsid w:val="002D117F"/>
    <w:rsid w:val="002D3BA2"/>
    <w:rsid w:val="002D655C"/>
    <w:rsid w:val="002D6A9D"/>
    <w:rsid w:val="002D7A04"/>
    <w:rsid w:val="002E11F3"/>
    <w:rsid w:val="002E1B03"/>
    <w:rsid w:val="002E28FC"/>
    <w:rsid w:val="002E31FF"/>
    <w:rsid w:val="002E513F"/>
    <w:rsid w:val="002E5899"/>
    <w:rsid w:val="002E6DCB"/>
    <w:rsid w:val="002E731B"/>
    <w:rsid w:val="002F0DA3"/>
    <w:rsid w:val="002F1642"/>
    <w:rsid w:val="002F4502"/>
    <w:rsid w:val="002F5029"/>
    <w:rsid w:val="003004CB"/>
    <w:rsid w:val="0030207F"/>
    <w:rsid w:val="003025E7"/>
    <w:rsid w:val="003031E0"/>
    <w:rsid w:val="003032FC"/>
    <w:rsid w:val="00303B3C"/>
    <w:rsid w:val="00303B8A"/>
    <w:rsid w:val="00304131"/>
    <w:rsid w:val="00304145"/>
    <w:rsid w:val="003046E1"/>
    <w:rsid w:val="0030530B"/>
    <w:rsid w:val="00307BA7"/>
    <w:rsid w:val="00310C00"/>
    <w:rsid w:val="00310E2F"/>
    <w:rsid w:val="003122A6"/>
    <w:rsid w:val="00312C82"/>
    <w:rsid w:val="003154FF"/>
    <w:rsid w:val="0031571C"/>
    <w:rsid w:val="00315F5F"/>
    <w:rsid w:val="003160DC"/>
    <w:rsid w:val="003166A2"/>
    <w:rsid w:val="00316B15"/>
    <w:rsid w:val="00317CBA"/>
    <w:rsid w:val="00321125"/>
    <w:rsid w:val="003212F2"/>
    <w:rsid w:val="00324B89"/>
    <w:rsid w:val="003253F8"/>
    <w:rsid w:val="00326460"/>
    <w:rsid w:val="00327B5B"/>
    <w:rsid w:val="00330D6D"/>
    <w:rsid w:val="0033229D"/>
    <w:rsid w:val="00332FFB"/>
    <w:rsid w:val="0033322E"/>
    <w:rsid w:val="003334DC"/>
    <w:rsid w:val="003336FD"/>
    <w:rsid w:val="003339BC"/>
    <w:rsid w:val="00335D26"/>
    <w:rsid w:val="003361A6"/>
    <w:rsid w:val="003400CE"/>
    <w:rsid w:val="003407B6"/>
    <w:rsid w:val="00341638"/>
    <w:rsid w:val="0034410A"/>
    <w:rsid w:val="0034469A"/>
    <w:rsid w:val="00344BE4"/>
    <w:rsid w:val="0034654A"/>
    <w:rsid w:val="003465F4"/>
    <w:rsid w:val="0034762E"/>
    <w:rsid w:val="003513B7"/>
    <w:rsid w:val="00351987"/>
    <w:rsid w:val="00353872"/>
    <w:rsid w:val="003542FD"/>
    <w:rsid w:val="0035447E"/>
    <w:rsid w:val="003562B2"/>
    <w:rsid w:val="00360205"/>
    <w:rsid w:val="00360972"/>
    <w:rsid w:val="003610C7"/>
    <w:rsid w:val="00361395"/>
    <w:rsid w:val="00362498"/>
    <w:rsid w:val="003634F6"/>
    <w:rsid w:val="00363E6F"/>
    <w:rsid w:val="003647C7"/>
    <w:rsid w:val="00364C05"/>
    <w:rsid w:val="00365787"/>
    <w:rsid w:val="00365DF3"/>
    <w:rsid w:val="0037106C"/>
    <w:rsid w:val="00372490"/>
    <w:rsid w:val="003725B2"/>
    <w:rsid w:val="00372B54"/>
    <w:rsid w:val="00372C15"/>
    <w:rsid w:val="00372C7C"/>
    <w:rsid w:val="0037521A"/>
    <w:rsid w:val="003801FC"/>
    <w:rsid w:val="00382C71"/>
    <w:rsid w:val="00383136"/>
    <w:rsid w:val="0038375D"/>
    <w:rsid w:val="00384521"/>
    <w:rsid w:val="0038698D"/>
    <w:rsid w:val="00391007"/>
    <w:rsid w:val="00392CA7"/>
    <w:rsid w:val="00392D1A"/>
    <w:rsid w:val="003939EE"/>
    <w:rsid w:val="00395412"/>
    <w:rsid w:val="003973D0"/>
    <w:rsid w:val="00397732"/>
    <w:rsid w:val="00397B94"/>
    <w:rsid w:val="00397F27"/>
    <w:rsid w:val="003A0B66"/>
    <w:rsid w:val="003A2A92"/>
    <w:rsid w:val="003A3AB4"/>
    <w:rsid w:val="003A3FFE"/>
    <w:rsid w:val="003A4A28"/>
    <w:rsid w:val="003A4B95"/>
    <w:rsid w:val="003A566D"/>
    <w:rsid w:val="003A723D"/>
    <w:rsid w:val="003A785C"/>
    <w:rsid w:val="003A7EF0"/>
    <w:rsid w:val="003B0B5E"/>
    <w:rsid w:val="003B23EB"/>
    <w:rsid w:val="003B5FDF"/>
    <w:rsid w:val="003B6A50"/>
    <w:rsid w:val="003B76F9"/>
    <w:rsid w:val="003C0061"/>
    <w:rsid w:val="003C0634"/>
    <w:rsid w:val="003C0BC3"/>
    <w:rsid w:val="003C12CA"/>
    <w:rsid w:val="003C1E27"/>
    <w:rsid w:val="003C30B3"/>
    <w:rsid w:val="003C3F34"/>
    <w:rsid w:val="003C3FB3"/>
    <w:rsid w:val="003C4A70"/>
    <w:rsid w:val="003C5225"/>
    <w:rsid w:val="003C5B93"/>
    <w:rsid w:val="003C6D93"/>
    <w:rsid w:val="003D0F0B"/>
    <w:rsid w:val="003D1674"/>
    <w:rsid w:val="003D2544"/>
    <w:rsid w:val="003D2552"/>
    <w:rsid w:val="003D2FCC"/>
    <w:rsid w:val="003D4237"/>
    <w:rsid w:val="003D71CE"/>
    <w:rsid w:val="003E0128"/>
    <w:rsid w:val="003E1A01"/>
    <w:rsid w:val="003E4DDB"/>
    <w:rsid w:val="003E53A0"/>
    <w:rsid w:val="003E5FDF"/>
    <w:rsid w:val="003E6CCB"/>
    <w:rsid w:val="003E7769"/>
    <w:rsid w:val="003E7F5C"/>
    <w:rsid w:val="003F1213"/>
    <w:rsid w:val="003F1609"/>
    <w:rsid w:val="003F1741"/>
    <w:rsid w:val="003F2494"/>
    <w:rsid w:val="003F30F6"/>
    <w:rsid w:val="003F3D36"/>
    <w:rsid w:val="003F6119"/>
    <w:rsid w:val="00400086"/>
    <w:rsid w:val="004004B6"/>
    <w:rsid w:val="00401FB7"/>
    <w:rsid w:val="0040202A"/>
    <w:rsid w:val="00402611"/>
    <w:rsid w:val="00402DA1"/>
    <w:rsid w:val="00404685"/>
    <w:rsid w:val="004050C4"/>
    <w:rsid w:val="004064BF"/>
    <w:rsid w:val="00407A9C"/>
    <w:rsid w:val="004104B3"/>
    <w:rsid w:val="00412698"/>
    <w:rsid w:val="00412BFC"/>
    <w:rsid w:val="00412C03"/>
    <w:rsid w:val="004140A5"/>
    <w:rsid w:val="00414541"/>
    <w:rsid w:val="004145F3"/>
    <w:rsid w:val="00414E37"/>
    <w:rsid w:val="00414F27"/>
    <w:rsid w:val="0041598E"/>
    <w:rsid w:val="004200FB"/>
    <w:rsid w:val="00420F74"/>
    <w:rsid w:val="004242AC"/>
    <w:rsid w:val="004253AD"/>
    <w:rsid w:val="004272D7"/>
    <w:rsid w:val="0042798F"/>
    <w:rsid w:val="00431025"/>
    <w:rsid w:val="00433E92"/>
    <w:rsid w:val="0043429D"/>
    <w:rsid w:val="0043757D"/>
    <w:rsid w:val="0044095B"/>
    <w:rsid w:val="00442060"/>
    <w:rsid w:val="004425FC"/>
    <w:rsid w:val="00444AC2"/>
    <w:rsid w:val="0044500E"/>
    <w:rsid w:val="00445670"/>
    <w:rsid w:val="004464AC"/>
    <w:rsid w:val="00446A0B"/>
    <w:rsid w:val="00447114"/>
    <w:rsid w:val="00451692"/>
    <w:rsid w:val="004519FD"/>
    <w:rsid w:val="004526C2"/>
    <w:rsid w:val="0045363D"/>
    <w:rsid w:val="00454BC0"/>
    <w:rsid w:val="00455008"/>
    <w:rsid w:val="0045516F"/>
    <w:rsid w:val="00455CF1"/>
    <w:rsid w:val="004569EB"/>
    <w:rsid w:val="00457493"/>
    <w:rsid w:val="00461953"/>
    <w:rsid w:val="00462DC1"/>
    <w:rsid w:val="004646EA"/>
    <w:rsid w:val="00465CD6"/>
    <w:rsid w:val="00466630"/>
    <w:rsid w:val="00466AF5"/>
    <w:rsid w:val="004674E7"/>
    <w:rsid w:val="00467719"/>
    <w:rsid w:val="004678CC"/>
    <w:rsid w:val="00471861"/>
    <w:rsid w:val="0047268F"/>
    <w:rsid w:val="00472A73"/>
    <w:rsid w:val="0047496C"/>
    <w:rsid w:val="00474DE1"/>
    <w:rsid w:val="004759F6"/>
    <w:rsid w:val="0047673A"/>
    <w:rsid w:val="004805B8"/>
    <w:rsid w:val="00482251"/>
    <w:rsid w:val="00482BFF"/>
    <w:rsid w:val="00482E2B"/>
    <w:rsid w:val="00484D20"/>
    <w:rsid w:val="0048653E"/>
    <w:rsid w:val="00487485"/>
    <w:rsid w:val="00487AEE"/>
    <w:rsid w:val="00487C7B"/>
    <w:rsid w:val="004933BB"/>
    <w:rsid w:val="00493F4C"/>
    <w:rsid w:val="00496ED2"/>
    <w:rsid w:val="00497036"/>
    <w:rsid w:val="00497219"/>
    <w:rsid w:val="004A02BE"/>
    <w:rsid w:val="004A08F5"/>
    <w:rsid w:val="004A101E"/>
    <w:rsid w:val="004A2CD8"/>
    <w:rsid w:val="004A3777"/>
    <w:rsid w:val="004A3881"/>
    <w:rsid w:val="004A3B93"/>
    <w:rsid w:val="004A4AB4"/>
    <w:rsid w:val="004A4F86"/>
    <w:rsid w:val="004A5C6D"/>
    <w:rsid w:val="004A5D86"/>
    <w:rsid w:val="004A5FD6"/>
    <w:rsid w:val="004A6AB0"/>
    <w:rsid w:val="004B068B"/>
    <w:rsid w:val="004B086F"/>
    <w:rsid w:val="004B2105"/>
    <w:rsid w:val="004B581D"/>
    <w:rsid w:val="004B6282"/>
    <w:rsid w:val="004B6B68"/>
    <w:rsid w:val="004B6C96"/>
    <w:rsid w:val="004C126F"/>
    <w:rsid w:val="004C2F10"/>
    <w:rsid w:val="004C2F52"/>
    <w:rsid w:val="004C2FC5"/>
    <w:rsid w:val="004C3C03"/>
    <w:rsid w:val="004C49BC"/>
    <w:rsid w:val="004C4B3B"/>
    <w:rsid w:val="004C5650"/>
    <w:rsid w:val="004D0559"/>
    <w:rsid w:val="004D05AC"/>
    <w:rsid w:val="004D16FE"/>
    <w:rsid w:val="004D3A21"/>
    <w:rsid w:val="004D4CDD"/>
    <w:rsid w:val="004D5091"/>
    <w:rsid w:val="004D56F4"/>
    <w:rsid w:val="004D778B"/>
    <w:rsid w:val="004E010B"/>
    <w:rsid w:val="004E1292"/>
    <w:rsid w:val="004E2FD8"/>
    <w:rsid w:val="004E38CD"/>
    <w:rsid w:val="004E648E"/>
    <w:rsid w:val="004E76E8"/>
    <w:rsid w:val="004E7B9D"/>
    <w:rsid w:val="004E7E45"/>
    <w:rsid w:val="004E7F78"/>
    <w:rsid w:val="004E7FFC"/>
    <w:rsid w:val="004F0035"/>
    <w:rsid w:val="004F2DE5"/>
    <w:rsid w:val="004F348A"/>
    <w:rsid w:val="004F3A07"/>
    <w:rsid w:val="004F3EC5"/>
    <w:rsid w:val="004F564F"/>
    <w:rsid w:val="00500994"/>
    <w:rsid w:val="0050166B"/>
    <w:rsid w:val="005021BC"/>
    <w:rsid w:val="0051052A"/>
    <w:rsid w:val="00511B95"/>
    <w:rsid w:val="00512148"/>
    <w:rsid w:val="00512898"/>
    <w:rsid w:val="00512D90"/>
    <w:rsid w:val="0051643D"/>
    <w:rsid w:val="005173A4"/>
    <w:rsid w:val="00517536"/>
    <w:rsid w:val="00521AA7"/>
    <w:rsid w:val="00523011"/>
    <w:rsid w:val="005230DD"/>
    <w:rsid w:val="00524D2B"/>
    <w:rsid w:val="0052520C"/>
    <w:rsid w:val="005254A5"/>
    <w:rsid w:val="00526E5C"/>
    <w:rsid w:val="005276BC"/>
    <w:rsid w:val="00532B27"/>
    <w:rsid w:val="00535462"/>
    <w:rsid w:val="0053550D"/>
    <w:rsid w:val="0053634A"/>
    <w:rsid w:val="005363B6"/>
    <w:rsid w:val="005368E5"/>
    <w:rsid w:val="00541403"/>
    <w:rsid w:val="005417D5"/>
    <w:rsid w:val="005420E0"/>
    <w:rsid w:val="005421DE"/>
    <w:rsid w:val="005434B2"/>
    <w:rsid w:val="00543F8B"/>
    <w:rsid w:val="005440AC"/>
    <w:rsid w:val="00544480"/>
    <w:rsid w:val="00545220"/>
    <w:rsid w:val="005458C1"/>
    <w:rsid w:val="00547ED0"/>
    <w:rsid w:val="00547F9A"/>
    <w:rsid w:val="005505AA"/>
    <w:rsid w:val="00550E24"/>
    <w:rsid w:val="005516D1"/>
    <w:rsid w:val="00551982"/>
    <w:rsid w:val="00552B1D"/>
    <w:rsid w:val="00553853"/>
    <w:rsid w:val="00555484"/>
    <w:rsid w:val="00557600"/>
    <w:rsid w:val="00557AC2"/>
    <w:rsid w:val="005618F9"/>
    <w:rsid w:val="00563405"/>
    <w:rsid w:val="00563E3A"/>
    <w:rsid w:val="00563E66"/>
    <w:rsid w:val="00564231"/>
    <w:rsid w:val="00564E19"/>
    <w:rsid w:val="0056514A"/>
    <w:rsid w:val="0056522F"/>
    <w:rsid w:val="0056558F"/>
    <w:rsid w:val="00565F22"/>
    <w:rsid w:val="0056636F"/>
    <w:rsid w:val="00566BE7"/>
    <w:rsid w:val="00567ABF"/>
    <w:rsid w:val="00567FD2"/>
    <w:rsid w:val="005706BA"/>
    <w:rsid w:val="00573493"/>
    <w:rsid w:val="005734D6"/>
    <w:rsid w:val="00575EBC"/>
    <w:rsid w:val="00576FB6"/>
    <w:rsid w:val="005772EC"/>
    <w:rsid w:val="0057759F"/>
    <w:rsid w:val="00577B1A"/>
    <w:rsid w:val="00577B2F"/>
    <w:rsid w:val="00580C3B"/>
    <w:rsid w:val="005837F2"/>
    <w:rsid w:val="005855B7"/>
    <w:rsid w:val="00585843"/>
    <w:rsid w:val="005864F5"/>
    <w:rsid w:val="005904A9"/>
    <w:rsid w:val="00591DFD"/>
    <w:rsid w:val="00592364"/>
    <w:rsid w:val="00594592"/>
    <w:rsid w:val="00595320"/>
    <w:rsid w:val="0059649A"/>
    <w:rsid w:val="00596C1F"/>
    <w:rsid w:val="00597093"/>
    <w:rsid w:val="005979B5"/>
    <w:rsid w:val="005A194B"/>
    <w:rsid w:val="005A4474"/>
    <w:rsid w:val="005A5056"/>
    <w:rsid w:val="005A5604"/>
    <w:rsid w:val="005A63B0"/>
    <w:rsid w:val="005A7997"/>
    <w:rsid w:val="005B0141"/>
    <w:rsid w:val="005B077C"/>
    <w:rsid w:val="005B0CAC"/>
    <w:rsid w:val="005B3450"/>
    <w:rsid w:val="005B346E"/>
    <w:rsid w:val="005B4C7B"/>
    <w:rsid w:val="005B5613"/>
    <w:rsid w:val="005B652E"/>
    <w:rsid w:val="005C0B21"/>
    <w:rsid w:val="005C1A1D"/>
    <w:rsid w:val="005C1EF7"/>
    <w:rsid w:val="005C35CC"/>
    <w:rsid w:val="005C37B5"/>
    <w:rsid w:val="005C3E79"/>
    <w:rsid w:val="005C41CC"/>
    <w:rsid w:val="005C4363"/>
    <w:rsid w:val="005C4681"/>
    <w:rsid w:val="005C4B4D"/>
    <w:rsid w:val="005C74B1"/>
    <w:rsid w:val="005C7E9D"/>
    <w:rsid w:val="005D1208"/>
    <w:rsid w:val="005D3E29"/>
    <w:rsid w:val="005D4279"/>
    <w:rsid w:val="005D5731"/>
    <w:rsid w:val="005D60D6"/>
    <w:rsid w:val="005D68A5"/>
    <w:rsid w:val="005D78C5"/>
    <w:rsid w:val="005E17D5"/>
    <w:rsid w:val="005E1FF1"/>
    <w:rsid w:val="005E31F8"/>
    <w:rsid w:val="005E383C"/>
    <w:rsid w:val="005E3E9A"/>
    <w:rsid w:val="005E43B2"/>
    <w:rsid w:val="005E48DE"/>
    <w:rsid w:val="005E4EC3"/>
    <w:rsid w:val="005E5F0E"/>
    <w:rsid w:val="005E64A3"/>
    <w:rsid w:val="005E69FE"/>
    <w:rsid w:val="005F0A24"/>
    <w:rsid w:val="005F0AF7"/>
    <w:rsid w:val="005F1527"/>
    <w:rsid w:val="005F585E"/>
    <w:rsid w:val="005F6508"/>
    <w:rsid w:val="005F7FF4"/>
    <w:rsid w:val="006014A7"/>
    <w:rsid w:val="00604770"/>
    <w:rsid w:val="00604FFD"/>
    <w:rsid w:val="00610CC1"/>
    <w:rsid w:val="00610E8A"/>
    <w:rsid w:val="00610FE9"/>
    <w:rsid w:val="00611126"/>
    <w:rsid w:val="006128AD"/>
    <w:rsid w:val="00613ED4"/>
    <w:rsid w:val="00614918"/>
    <w:rsid w:val="00614B3E"/>
    <w:rsid w:val="00614D4C"/>
    <w:rsid w:val="006175CB"/>
    <w:rsid w:val="006207B9"/>
    <w:rsid w:val="00620886"/>
    <w:rsid w:val="00622CBB"/>
    <w:rsid w:val="0062349B"/>
    <w:rsid w:val="00623BE5"/>
    <w:rsid w:val="00623C95"/>
    <w:rsid w:val="00624148"/>
    <w:rsid w:val="0062429F"/>
    <w:rsid w:val="006248D4"/>
    <w:rsid w:val="006249F8"/>
    <w:rsid w:val="00625BAE"/>
    <w:rsid w:val="00627030"/>
    <w:rsid w:val="006300F4"/>
    <w:rsid w:val="006306A6"/>
    <w:rsid w:val="00631301"/>
    <w:rsid w:val="0063205E"/>
    <w:rsid w:val="00634F64"/>
    <w:rsid w:val="0063569E"/>
    <w:rsid w:val="006367EF"/>
    <w:rsid w:val="00636D46"/>
    <w:rsid w:val="00636F1A"/>
    <w:rsid w:val="006408FC"/>
    <w:rsid w:val="00641449"/>
    <w:rsid w:val="00641749"/>
    <w:rsid w:val="006447C2"/>
    <w:rsid w:val="00644E2C"/>
    <w:rsid w:val="00645835"/>
    <w:rsid w:val="0064586A"/>
    <w:rsid w:val="0064696E"/>
    <w:rsid w:val="00651071"/>
    <w:rsid w:val="006512C6"/>
    <w:rsid w:val="0065141C"/>
    <w:rsid w:val="0065170B"/>
    <w:rsid w:val="00652390"/>
    <w:rsid w:val="00653BC1"/>
    <w:rsid w:val="00654DEA"/>
    <w:rsid w:val="00655816"/>
    <w:rsid w:val="006574DB"/>
    <w:rsid w:val="00657A2B"/>
    <w:rsid w:val="00660A91"/>
    <w:rsid w:val="00661D11"/>
    <w:rsid w:val="00661DA6"/>
    <w:rsid w:val="00662632"/>
    <w:rsid w:val="00663948"/>
    <w:rsid w:val="00665577"/>
    <w:rsid w:val="006659BF"/>
    <w:rsid w:val="006663A5"/>
    <w:rsid w:val="00666B81"/>
    <w:rsid w:val="0066733F"/>
    <w:rsid w:val="006673EC"/>
    <w:rsid w:val="00670E57"/>
    <w:rsid w:val="00674C2B"/>
    <w:rsid w:val="006773A8"/>
    <w:rsid w:val="006774A1"/>
    <w:rsid w:val="00677B7C"/>
    <w:rsid w:val="006804FF"/>
    <w:rsid w:val="00681162"/>
    <w:rsid w:val="00685241"/>
    <w:rsid w:val="00685463"/>
    <w:rsid w:val="00685A62"/>
    <w:rsid w:val="0068704B"/>
    <w:rsid w:val="00687DFD"/>
    <w:rsid w:val="006902C0"/>
    <w:rsid w:val="00691F02"/>
    <w:rsid w:val="00692720"/>
    <w:rsid w:val="00692B38"/>
    <w:rsid w:val="00692ECC"/>
    <w:rsid w:val="006931FF"/>
    <w:rsid w:val="00693272"/>
    <w:rsid w:val="00693EBD"/>
    <w:rsid w:val="00697243"/>
    <w:rsid w:val="00697CAE"/>
    <w:rsid w:val="006A0A6F"/>
    <w:rsid w:val="006A21AB"/>
    <w:rsid w:val="006A3444"/>
    <w:rsid w:val="006A4230"/>
    <w:rsid w:val="006A4BCE"/>
    <w:rsid w:val="006A57B8"/>
    <w:rsid w:val="006A6038"/>
    <w:rsid w:val="006A7B81"/>
    <w:rsid w:val="006B05DD"/>
    <w:rsid w:val="006B0E48"/>
    <w:rsid w:val="006B2FAC"/>
    <w:rsid w:val="006B421C"/>
    <w:rsid w:val="006B642D"/>
    <w:rsid w:val="006B6CC6"/>
    <w:rsid w:val="006B6DBC"/>
    <w:rsid w:val="006B6EA1"/>
    <w:rsid w:val="006B7196"/>
    <w:rsid w:val="006B796F"/>
    <w:rsid w:val="006C033A"/>
    <w:rsid w:val="006C14B1"/>
    <w:rsid w:val="006C25B3"/>
    <w:rsid w:val="006C27D3"/>
    <w:rsid w:val="006C429F"/>
    <w:rsid w:val="006C45C3"/>
    <w:rsid w:val="006C53EE"/>
    <w:rsid w:val="006C5736"/>
    <w:rsid w:val="006C691B"/>
    <w:rsid w:val="006C762E"/>
    <w:rsid w:val="006D0C60"/>
    <w:rsid w:val="006D0D50"/>
    <w:rsid w:val="006D1475"/>
    <w:rsid w:val="006D229D"/>
    <w:rsid w:val="006D43D0"/>
    <w:rsid w:val="006E04C5"/>
    <w:rsid w:val="006E13CB"/>
    <w:rsid w:val="006E211A"/>
    <w:rsid w:val="006E25C8"/>
    <w:rsid w:val="006E548A"/>
    <w:rsid w:val="006E5E25"/>
    <w:rsid w:val="006E65F5"/>
    <w:rsid w:val="006E74FB"/>
    <w:rsid w:val="006E7691"/>
    <w:rsid w:val="006F0B9E"/>
    <w:rsid w:val="006F157A"/>
    <w:rsid w:val="006F19BF"/>
    <w:rsid w:val="006F2A08"/>
    <w:rsid w:val="006F3D5B"/>
    <w:rsid w:val="006F4F9A"/>
    <w:rsid w:val="006F6A29"/>
    <w:rsid w:val="006F7F1B"/>
    <w:rsid w:val="00703414"/>
    <w:rsid w:val="00704ADC"/>
    <w:rsid w:val="00705825"/>
    <w:rsid w:val="00706223"/>
    <w:rsid w:val="007063A9"/>
    <w:rsid w:val="00707F7C"/>
    <w:rsid w:val="007103C3"/>
    <w:rsid w:val="00710827"/>
    <w:rsid w:val="00710F2E"/>
    <w:rsid w:val="00711226"/>
    <w:rsid w:val="00712362"/>
    <w:rsid w:val="00717EA0"/>
    <w:rsid w:val="00725046"/>
    <w:rsid w:val="00725C13"/>
    <w:rsid w:val="00725FC9"/>
    <w:rsid w:val="007266F4"/>
    <w:rsid w:val="007302D5"/>
    <w:rsid w:val="00732AAD"/>
    <w:rsid w:val="007341AE"/>
    <w:rsid w:val="007341D4"/>
    <w:rsid w:val="00734A43"/>
    <w:rsid w:val="00735E07"/>
    <w:rsid w:val="00741457"/>
    <w:rsid w:val="00741BAF"/>
    <w:rsid w:val="00742BA7"/>
    <w:rsid w:val="007440A3"/>
    <w:rsid w:val="0074446D"/>
    <w:rsid w:val="00745B24"/>
    <w:rsid w:val="00747D12"/>
    <w:rsid w:val="0075145F"/>
    <w:rsid w:val="00751C2B"/>
    <w:rsid w:val="00752271"/>
    <w:rsid w:val="00752FBF"/>
    <w:rsid w:val="007549E9"/>
    <w:rsid w:val="007552C0"/>
    <w:rsid w:val="00755B2D"/>
    <w:rsid w:val="00756B55"/>
    <w:rsid w:val="00761051"/>
    <w:rsid w:val="007639A4"/>
    <w:rsid w:val="0076467B"/>
    <w:rsid w:val="007657E5"/>
    <w:rsid w:val="00766031"/>
    <w:rsid w:val="00767E98"/>
    <w:rsid w:val="007711F9"/>
    <w:rsid w:val="007713F8"/>
    <w:rsid w:val="00771654"/>
    <w:rsid w:val="00773A7E"/>
    <w:rsid w:val="00774D68"/>
    <w:rsid w:val="00775103"/>
    <w:rsid w:val="00777D77"/>
    <w:rsid w:val="0078083B"/>
    <w:rsid w:val="007817EB"/>
    <w:rsid w:val="00781CA0"/>
    <w:rsid w:val="00783720"/>
    <w:rsid w:val="00783945"/>
    <w:rsid w:val="007847D1"/>
    <w:rsid w:val="00785840"/>
    <w:rsid w:val="00785AA6"/>
    <w:rsid w:val="00787037"/>
    <w:rsid w:val="007879AF"/>
    <w:rsid w:val="00790BDB"/>
    <w:rsid w:val="00794D4D"/>
    <w:rsid w:val="00794D96"/>
    <w:rsid w:val="0079508D"/>
    <w:rsid w:val="00795A44"/>
    <w:rsid w:val="00795C7F"/>
    <w:rsid w:val="0079681A"/>
    <w:rsid w:val="007968E7"/>
    <w:rsid w:val="00797778"/>
    <w:rsid w:val="007A09F4"/>
    <w:rsid w:val="007A3589"/>
    <w:rsid w:val="007A4309"/>
    <w:rsid w:val="007A51F2"/>
    <w:rsid w:val="007A563F"/>
    <w:rsid w:val="007A6807"/>
    <w:rsid w:val="007A7EA7"/>
    <w:rsid w:val="007B0473"/>
    <w:rsid w:val="007B15E3"/>
    <w:rsid w:val="007B1DA2"/>
    <w:rsid w:val="007B1EB5"/>
    <w:rsid w:val="007B3EF0"/>
    <w:rsid w:val="007B4352"/>
    <w:rsid w:val="007B4BF9"/>
    <w:rsid w:val="007B506D"/>
    <w:rsid w:val="007B618C"/>
    <w:rsid w:val="007B6B8C"/>
    <w:rsid w:val="007C046D"/>
    <w:rsid w:val="007C1210"/>
    <w:rsid w:val="007C2BF8"/>
    <w:rsid w:val="007C4997"/>
    <w:rsid w:val="007C5275"/>
    <w:rsid w:val="007C54FB"/>
    <w:rsid w:val="007C5D58"/>
    <w:rsid w:val="007C7E10"/>
    <w:rsid w:val="007D1199"/>
    <w:rsid w:val="007D2B8E"/>
    <w:rsid w:val="007D4215"/>
    <w:rsid w:val="007D45BF"/>
    <w:rsid w:val="007D75D1"/>
    <w:rsid w:val="007D7730"/>
    <w:rsid w:val="007D784C"/>
    <w:rsid w:val="007E0B3F"/>
    <w:rsid w:val="007E0F38"/>
    <w:rsid w:val="007E1126"/>
    <w:rsid w:val="007E22D5"/>
    <w:rsid w:val="007E25A9"/>
    <w:rsid w:val="007E2998"/>
    <w:rsid w:val="007E60FD"/>
    <w:rsid w:val="007E725B"/>
    <w:rsid w:val="007F0155"/>
    <w:rsid w:val="007F3CCE"/>
    <w:rsid w:val="007F414F"/>
    <w:rsid w:val="007F49D7"/>
    <w:rsid w:val="007F5789"/>
    <w:rsid w:val="007F612D"/>
    <w:rsid w:val="007F6B41"/>
    <w:rsid w:val="007F6F74"/>
    <w:rsid w:val="00801D61"/>
    <w:rsid w:val="00801FA0"/>
    <w:rsid w:val="008044BB"/>
    <w:rsid w:val="008064BE"/>
    <w:rsid w:val="00812EC1"/>
    <w:rsid w:val="0081318D"/>
    <w:rsid w:val="00813976"/>
    <w:rsid w:val="00815738"/>
    <w:rsid w:val="00816A98"/>
    <w:rsid w:val="00817B77"/>
    <w:rsid w:val="00817E19"/>
    <w:rsid w:val="00820CFF"/>
    <w:rsid w:val="008245EE"/>
    <w:rsid w:val="00825E0C"/>
    <w:rsid w:val="00826493"/>
    <w:rsid w:val="0082653B"/>
    <w:rsid w:val="008265C4"/>
    <w:rsid w:val="00827D37"/>
    <w:rsid w:val="0083162A"/>
    <w:rsid w:val="00831E5C"/>
    <w:rsid w:val="008341B4"/>
    <w:rsid w:val="00835580"/>
    <w:rsid w:val="00836E02"/>
    <w:rsid w:val="00836E10"/>
    <w:rsid w:val="008426AE"/>
    <w:rsid w:val="00842745"/>
    <w:rsid w:val="00843596"/>
    <w:rsid w:val="00843756"/>
    <w:rsid w:val="00843BEF"/>
    <w:rsid w:val="00844139"/>
    <w:rsid w:val="00844B03"/>
    <w:rsid w:val="00847565"/>
    <w:rsid w:val="00847DA1"/>
    <w:rsid w:val="0085099D"/>
    <w:rsid w:val="00850EA8"/>
    <w:rsid w:val="00857630"/>
    <w:rsid w:val="00860C36"/>
    <w:rsid w:val="008619CD"/>
    <w:rsid w:val="0086330F"/>
    <w:rsid w:val="00864BD8"/>
    <w:rsid w:val="00865737"/>
    <w:rsid w:val="00871491"/>
    <w:rsid w:val="00871B29"/>
    <w:rsid w:val="00871C23"/>
    <w:rsid w:val="00871EA4"/>
    <w:rsid w:val="0087288A"/>
    <w:rsid w:val="00872A8B"/>
    <w:rsid w:val="008758C7"/>
    <w:rsid w:val="00875A22"/>
    <w:rsid w:val="00876109"/>
    <w:rsid w:val="008766CD"/>
    <w:rsid w:val="0087755B"/>
    <w:rsid w:val="0087772C"/>
    <w:rsid w:val="00877C15"/>
    <w:rsid w:val="00881A69"/>
    <w:rsid w:val="008842E3"/>
    <w:rsid w:val="00884FCD"/>
    <w:rsid w:val="00885F52"/>
    <w:rsid w:val="00886650"/>
    <w:rsid w:val="00886F42"/>
    <w:rsid w:val="00887C17"/>
    <w:rsid w:val="00890CF7"/>
    <w:rsid w:val="008917AC"/>
    <w:rsid w:val="00891A7C"/>
    <w:rsid w:val="008924DD"/>
    <w:rsid w:val="00893862"/>
    <w:rsid w:val="00894ACB"/>
    <w:rsid w:val="00894C74"/>
    <w:rsid w:val="00894C7D"/>
    <w:rsid w:val="00895921"/>
    <w:rsid w:val="00895F50"/>
    <w:rsid w:val="0089713E"/>
    <w:rsid w:val="00897158"/>
    <w:rsid w:val="008A0969"/>
    <w:rsid w:val="008A130C"/>
    <w:rsid w:val="008A193D"/>
    <w:rsid w:val="008A2766"/>
    <w:rsid w:val="008A45D7"/>
    <w:rsid w:val="008A4CEE"/>
    <w:rsid w:val="008A4E19"/>
    <w:rsid w:val="008A69CC"/>
    <w:rsid w:val="008A6AF1"/>
    <w:rsid w:val="008A6D8B"/>
    <w:rsid w:val="008A7332"/>
    <w:rsid w:val="008A7E24"/>
    <w:rsid w:val="008B3347"/>
    <w:rsid w:val="008B3669"/>
    <w:rsid w:val="008B45C7"/>
    <w:rsid w:val="008B544A"/>
    <w:rsid w:val="008B56F2"/>
    <w:rsid w:val="008B6B31"/>
    <w:rsid w:val="008B748E"/>
    <w:rsid w:val="008C02B3"/>
    <w:rsid w:val="008C1CCC"/>
    <w:rsid w:val="008C4E1E"/>
    <w:rsid w:val="008D1763"/>
    <w:rsid w:val="008D36DC"/>
    <w:rsid w:val="008D41BD"/>
    <w:rsid w:val="008D4C7D"/>
    <w:rsid w:val="008D5DEA"/>
    <w:rsid w:val="008D6779"/>
    <w:rsid w:val="008D76DE"/>
    <w:rsid w:val="008E02D5"/>
    <w:rsid w:val="008E0318"/>
    <w:rsid w:val="008E08DB"/>
    <w:rsid w:val="008E1B7C"/>
    <w:rsid w:val="008E484D"/>
    <w:rsid w:val="008E5A90"/>
    <w:rsid w:val="008E6DF5"/>
    <w:rsid w:val="008E7432"/>
    <w:rsid w:val="008F0A37"/>
    <w:rsid w:val="008F0CCC"/>
    <w:rsid w:val="008F1243"/>
    <w:rsid w:val="008F1724"/>
    <w:rsid w:val="008F307E"/>
    <w:rsid w:val="008F3439"/>
    <w:rsid w:val="008F3526"/>
    <w:rsid w:val="008F48AA"/>
    <w:rsid w:val="008F4E4D"/>
    <w:rsid w:val="008F5361"/>
    <w:rsid w:val="008F59E2"/>
    <w:rsid w:val="008F5DF9"/>
    <w:rsid w:val="008F5EC0"/>
    <w:rsid w:val="008F72AB"/>
    <w:rsid w:val="009013CC"/>
    <w:rsid w:val="009048A4"/>
    <w:rsid w:val="00904A6A"/>
    <w:rsid w:val="009055C2"/>
    <w:rsid w:val="009059BF"/>
    <w:rsid w:val="00905D55"/>
    <w:rsid w:val="009069B7"/>
    <w:rsid w:val="00906CF0"/>
    <w:rsid w:val="00907689"/>
    <w:rsid w:val="00907C07"/>
    <w:rsid w:val="009116FC"/>
    <w:rsid w:val="009129AC"/>
    <w:rsid w:val="00912CF7"/>
    <w:rsid w:val="00913AF8"/>
    <w:rsid w:val="00914EF9"/>
    <w:rsid w:val="00914F52"/>
    <w:rsid w:val="00916749"/>
    <w:rsid w:val="00916AEE"/>
    <w:rsid w:val="00917168"/>
    <w:rsid w:val="009201EC"/>
    <w:rsid w:val="00920442"/>
    <w:rsid w:val="00920B66"/>
    <w:rsid w:val="009236A0"/>
    <w:rsid w:val="00924D05"/>
    <w:rsid w:val="00926043"/>
    <w:rsid w:val="00926B7F"/>
    <w:rsid w:val="0092714F"/>
    <w:rsid w:val="00927366"/>
    <w:rsid w:val="00931C5B"/>
    <w:rsid w:val="00931F5C"/>
    <w:rsid w:val="00931F99"/>
    <w:rsid w:val="0093225D"/>
    <w:rsid w:val="00932A7D"/>
    <w:rsid w:val="00933E8C"/>
    <w:rsid w:val="00933F21"/>
    <w:rsid w:val="00934315"/>
    <w:rsid w:val="009352DD"/>
    <w:rsid w:val="00935F50"/>
    <w:rsid w:val="00941042"/>
    <w:rsid w:val="00943188"/>
    <w:rsid w:val="00943BFD"/>
    <w:rsid w:val="00944680"/>
    <w:rsid w:val="00945C2C"/>
    <w:rsid w:val="00947507"/>
    <w:rsid w:val="009476FD"/>
    <w:rsid w:val="00947E1B"/>
    <w:rsid w:val="009520CF"/>
    <w:rsid w:val="00954D4E"/>
    <w:rsid w:val="0095592B"/>
    <w:rsid w:val="00955B07"/>
    <w:rsid w:val="0095611B"/>
    <w:rsid w:val="00956CDD"/>
    <w:rsid w:val="0096006B"/>
    <w:rsid w:val="00960FEC"/>
    <w:rsid w:val="00961D5A"/>
    <w:rsid w:val="009621E7"/>
    <w:rsid w:val="009623E3"/>
    <w:rsid w:val="00963559"/>
    <w:rsid w:val="00963DDB"/>
    <w:rsid w:val="00965ACD"/>
    <w:rsid w:val="00965D72"/>
    <w:rsid w:val="00965DCF"/>
    <w:rsid w:val="009661BD"/>
    <w:rsid w:val="00970347"/>
    <w:rsid w:val="009713B9"/>
    <w:rsid w:val="0097150E"/>
    <w:rsid w:val="00971750"/>
    <w:rsid w:val="00972B55"/>
    <w:rsid w:val="00972FF9"/>
    <w:rsid w:val="0097348B"/>
    <w:rsid w:val="009740E6"/>
    <w:rsid w:val="00974D64"/>
    <w:rsid w:val="0097636A"/>
    <w:rsid w:val="009808AD"/>
    <w:rsid w:val="0098242E"/>
    <w:rsid w:val="0098294D"/>
    <w:rsid w:val="009838EC"/>
    <w:rsid w:val="00984C37"/>
    <w:rsid w:val="00986140"/>
    <w:rsid w:val="009864F2"/>
    <w:rsid w:val="0099073D"/>
    <w:rsid w:val="00992137"/>
    <w:rsid w:val="00994348"/>
    <w:rsid w:val="0099507D"/>
    <w:rsid w:val="0099580D"/>
    <w:rsid w:val="00996695"/>
    <w:rsid w:val="00996BE1"/>
    <w:rsid w:val="009978EB"/>
    <w:rsid w:val="00997E85"/>
    <w:rsid w:val="009A1071"/>
    <w:rsid w:val="009A1DAB"/>
    <w:rsid w:val="009A22CF"/>
    <w:rsid w:val="009A35C8"/>
    <w:rsid w:val="009A6308"/>
    <w:rsid w:val="009B01DE"/>
    <w:rsid w:val="009B175E"/>
    <w:rsid w:val="009B22AB"/>
    <w:rsid w:val="009B2AD4"/>
    <w:rsid w:val="009B2C18"/>
    <w:rsid w:val="009B2E81"/>
    <w:rsid w:val="009B3095"/>
    <w:rsid w:val="009C0939"/>
    <w:rsid w:val="009C31CC"/>
    <w:rsid w:val="009C4153"/>
    <w:rsid w:val="009C530E"/>
    <w:rsid w:val="009C67FE"/>
    <w:rsid w:val="009C73D0"/>
    <w:rsid w:val="009C7473"/>
    <w:rsid w:val="009D0D46"/>
    <w:rsid w:val="009D1E6C"/>
    <w:rsid w:val="009D4418"/>
    <w:rsid w:val="009D441E"/>
    <w:rsid w:val="009D67E7"/>
    <w:rsid w:val="009E0557"/>
    <w:rsid w:val="009E1DED"/>
    <w:rsid w:val="009E2768"/>
    <w:rsid w:val="009E3055"/>
    <w:rsid w:val="009E3D29"/>
    <w:rsid w:val="009E428A"/>
    <w:rsid w:val="009E4472"/>
    <w:rsid w:val="009F07DF"/>
    <w:rsid w:val="009F09B6"/>
    <w:rsid w:val="009F124F"/>
    <w:rsid w:val="009F12B8"/>
    <w:rsid w:val="009F24D5"/>
    <w:rsid w:val="009F397B"/>
    <w:rsid w:val="009F3AAF"/>
    <w:rsid w:val="009F4512"/>
    <w:rsid w:val="009F550B"/>
    <w:rsid w:val="009F597B"/>
    <w:rsid w:val="00A0079A"/>
    <w:rsid w:val="00A01999"/>
    <w:rsid w:val="00A034F7"/>
    <w:rsid w:val="00A054D5"/>
    <w:rsid w:val="00A06453"/>
    <w:rsid w:val="00A0716F"/>
    <w:rsid w:val="00A10BE7"/>
    <w:rsid w:val="00A10F53"/>
    <w:rsid w:val="00A11571"/>
    <w:rsid w:val="00A140D5"/>
    <w:rsid w:val="00A14965"/>
    <w:rsid w:val="00A20231"/>
    <w:rsid w:val="00A22183"/>
    <w:rsid w:val="00A2367C"/>
    <w:rsid w:val="00A276F6"/>
    <w:rsid w:val="00A309A1"/>
    <w:rsid w:val="00A30B01"/>
    <w:rsid w:val="00A31C12"/>
    <w:rsid w:val="00A31CF8"/>
    <w:rsid w:val="00A32E71"/>
    <w:rsid w:val="00A32F10"/>
    <w:rsid w:val="00A33026"/>
    <w:rsid w:val="00A3338F"/>
    <w:rsid w:val="00A346D1"/>
    <w:rsid w:val="00A357DA"/>
    <w:rsid w:val="00A358D8"/>
    <w:rsid w:val="00A36C8D"/>
    <w:rsid w:val="00A37F72"/>
    <w:rsid w:val="00A4126F"/>
    <w:rsid w:val="00A412A6"/>
    <w:rsid w:val="00A41E1B"/>
    <w:rsid w:val="00A42247"/>
    <w:rsid w:val="00A42AB3"/>
    <w:rsid w:val="00A4329E"/>
    <w:rsid w:val="00A43DCE"/>
    <w:rsid w:val="00A454B8"/>
    <w:rsid w:val="00A45834"/>
    <w:rsid w:val="00A45EDA"/>
    <w:rsid w:val="00A45F88"/>
    <w:rsid w:val="00A46420"/>
    <w:rsid w:val="00A47642"/>
    <w:rsid w:val="00A510CC"/>
    <w:rsid w:val="00A527EC"/>
    <w:rsid w:val="00A52807"/>
    <w:rsid w:val="00A5442C"/>
    <w:rsid w:val="00A54E1F"/>
    <w:rsid w:val="00A55AA3"/>
    <w:rsid w:val="00A56F26"/>
    <w:rsid w:val="00A57534"/>
    <w:rsid w:val="00A61A42"/>
    <w:rsid w:val="00A61A95"/>
    <w:rsid w:val="00A61B0B"/>
    <w:rsid w:val="00A6205E"/>
    <w:rsid w:val="00A6226F"/>
    <w:rsid w:val="00A62F38"/>
    <w:rsid w:val="00A632E4"/>
    <w:rsid w:val="00A641A3"/>
    <w:rsid w:val="00A67C06"/>
    <w:rsid w:val="00A701A1"/>
    <w:rsid w:val="00A717CF"/>
    <w:rsid w:val="00A71877"/>
    <w:rsid w:val="00A720D0"/>
    <w:rsid w:val="00A723E9"/>
    <w:rsid w:val="00A725AA"/>
    <w:rsid w:val="00A7274A"/>
    <w:rsid w:val="00A76EA6"/>
    <w:rsid w:val="00A80C7E"/>
    <w:rsid w:val="00A80D0A"/>
    <w:rsid w:val="00A81889"/>
    <w:rsid w:val="00A81BFE"/>
    <w:rsid w:val="00A84992"/>
    <w:rsid w:val="00A84AD3"/>
    <w:rsid w:val="00A84F72"/>
    <w:rsid w:val="00A8503A"/>
    <w:rsid w:val="00A85B0B"/>
    <w:rsid w:val="00A85BE4"/>
    <w:rsid w:val="00A86FC3"/>
    <w:rsid w:val="00A90659"/>
    <w:rsid w:val="00A930E9"/>
    <w:rsid w:val="00A94363"/>
    <w:rsid w:val="00A9449E"/>
    <w:rsid w:val="00A95CA3"/>
    <w:rsid w:val="00A964E0"/>
    <w:rsid w:val="00AA1EE9"/>
    <w:rsid w:val="00AA2524"/>
    <w:rsid w:val="00AA3AC7"/>
    <w:rsid w:val="00AA3BEA"/>
    <w:rsid w:val="00AA459F"/>
    <w:rsid w:val="00AA4B46"/>
    <w:rsid w:val="00AA569B"/>
    <w:rsid w:val="00AA7C06"/>
    <w:rsid w:val="00AB008D"/>
    <w:rsid w:val="00AB0218"/>
    <w:rsid w:val="00AB02BF"/>
    <w:rsid w:val="00AB20E6"/>
    <w:rsid w:val="00AB2342"/>
    <w:rsid w:val="00AB311F"/>
    <w:rsid w:val="00AB3ED2"/>
    <w:rsid w:val="00AB3F69"/>
    <w:rsid w:val="00AB5DCE"/>
    <w:rsid w:val="00AB7E25"/>
    <w:rsid w:val="00AC0020"/>
    <w:rsid w:val="00AC010D"/>
    <w:rsid w:val="00AC1EA2"/>
    <w:rsid w:val="00AC204D"/>
    <w:rsid w:val="00AC2344"/>
    <w:rsid w:val="00AC302F"/>
    <w:rsid w:val="00AC5314"/>
    <w:rsid w:val="00AC5643"/>
    <w:rsid w:val="00AC608B"/>
    <w:rsid w:val="00AC6A56"/>
    <w:rsid w:val="00AC6F92"/>
    <w:rsid w:val="00AC7B1C"/>
    <w:rsid w:val="00AD4094"/>
    <w:rsid w:val="00AD4A1A"/>
    <w:rsid w:val="00AD588D"/>
    <w:rsid w:val="00AD5B49"/>
    <w:rsid w:val="00AD6D4F"/>
    <w:rsid w:val="00AD6E46"/>
    <w:rsid w:val="00AD79F4"/>
    <w:rsid w:val="00AE077D"/>
    <w:rsid w:val="00AE14A7"/>
    <w:rsid w:val="00AE4B7A"/>
    <w:rsid w:val="00AE57EC"/>
    <w:rsid w:val="00AE5B7D"/>
    <w:rsid w:val="00AF2A19"/>
    <w:rsid w:val="00AF2D90"/>
    <w:rsid w:val="00AF4B69"/>
    <w:rsid w:val="00AF4D0F"/>
    <w:rsid w:val="00AF62DD"/>
    <w:rsid w:val="00AF6D4E"/>
    <w:rsid w:val="00AF792C"/>
    <w:rsid w:val="00B00E53"/>
    <w:rsid w:val="00B01E14"/>
    <w:rsid w:val="00B020F2"/>
    <w:rsid w:val="00B0377F"/>
    <w:rsid w:val="00B03E3A"/>
    <w:rsid w:val="00B063AB"/>
    <w:rsid w:val="00B0749F"/>
    <w:rsid w:val="00B07D98"/>
    <w:rsid w:val="00B114FA"/>
    <w:rsid w:val="00B11ADA"/>
    <w:rsid w:val="00B12128"/>
    <w:rsid w:val="00B12F8A"/>
    <w:rsid w:val="00B158B1"/>
    <w:rsid w:val="00B15A91"/>
    <w:rsid w:val="00B17244"/>
    <w:rsid w:val="00B17530"/>
    <w:rsid w:val="00B2192D"/>
    <w:rsid w:val="00B22550"/>
    <w:rsid w:val="00B23734"/>
    <w:rsid w:val="00B2668C"/>
    <w:rsid w:val="00B3004A"/>
    <w:rsid w:val="00B32875"/>
    <w:rsid w:val="00B32B3C"/>
    <w:rsid w:val="00B338B7"/>
    <w:rsid w:val="00B36EB8"/>
    <w:rsid w:val="00B3725D"/>
    <w:rsid w:val="00B404F1"/>
    <w:rsid w:val="00B41050"/>
    <w:rsid w:val="00B41950"/>
    <w:rsid w:val="00B463E6"/>
    <w:rsid w:val="00B46D23"/>
    <w:rsid w:val="00B46F37"/>
    <w:rsid w:val="00B47178"/>
    <w:rsid w:val="00B4771B"/>
    <w:rsid w:val="00B47ECE"/>
    <w:rsid w:val="00B51E09"/>
    <w:rsid w:val="00B52095"/>
    <w:rsid w:val="00B522BF"/>
    <w:rsid w:val="00B5327C"/>
    <w:rsid w:val="00B53551"/>
    <w:rsid w:val="00B55D47"/>
    <w:rsid w:val="00B57DAA"/>
    <w:rsid w:val="00B60B9E"/>
    <w:rsid w:val="00B613B6"/>
    <w:rsid w:val="00B628AD"/>
    <w:rsid w:val="00B62D01"/>
    <w:rsid w:val="00B64A2E"/>
    <w:rsid w:val="00B652F7"/>
    <w:rsid w:val="00B6543B"/>
    <w:rsid w:val="00B65A46"/>
    <w:rsid w:val="00B65EF2"/>
    <w:rsid w:val="00B670E3"/>
    <w:rsid w:val="00B6735D"/>
    <w:rsid w:val="00B67A92"/>
    <w:rsid w:val="00B707CE"/>
    <w:rsid w:val="00B7109E"/>
    <w:rsid w:val="00B7129A"/>
    <w:rsid w:val="00B716BC"/>
    <w:rsid w:val="00B71D81"/>
    <w:rsid w:val="00B71EB9"/>
    <w:rsid w:val="00B72163"/>
    <w:rsid w:val="00B72C27"/>
    <w:rsid w:val="00B73BE6"/>
    <w:rsid w:val="00B74A00"/>
    <w:rsid w:val="00B750F4"/>
    <w:rsid w:val="00B767EE"/>
    <w:rsid w:val="00B776F4"/>
    <w:rsid w:val="00B77A13"/>
    <w:rsid w:val="00B80FF7"/>
    <w:rsid w:val="00B81B44"/>
    <w:rsid w:val="00B825DD"/>
    <w:rsid w:val="00B828C5"/>
    <w:rsid w:val="00B8299B"/>
    <w:rsid w:val="00B82AFD"/>
    <w:rsid w:val="00B830FE"/>
    <w:rsid w:val="00B84E0F"/>
    <w:rsid w:val="00B84ED3"/>
    <w:rsid w:val="00B85982"/>
    <w:rsid w:val="00B85B2C"/>
    <w:rsid w:val="00B85CB2"/>
    <w:rsid w:val="00B87C1F"/>
    <w:rsid w:val="00B906D2"/>
    <w:rsid w:val="00B90B1A"/>
    <w:rsid w:val="00B91690"/>
    <w:rsid w:val="00B91CF0"/>
    <w:rsid w:val="00B91F5B"/>
    <w:rsid w:val="00B92B5E"/>
    <w:rsid w:val="00B92E92"/>
    <w:rsid w:val="00B93025"/>
    <w:rsid w:val="00B945D7"/>
    <w:rsid w:val="00B94BAF"/>
    <w:rsid w:val="00B95749"/>
    <w:rsid w:val="00B95F61"/>
    <w:rsid w:val="00B96B25"/>
    <w:rsid w:val="00B9775A"/>
    <w:rsid w:val="00B97873"/>
    <w:rsid w:val="00BA0028"/>
    <w:rsid w:val="00BA02E8"/>
    <w:rsid w:val="00BA046F"/>
    <w:rsid w:val="00BA04C4"/>
    <w:rsid w:val="00BA04F8"/>
    <w:rsid w:val="00BA17A9"/>
    <w:rsid w:val="00BA1FFD"/>
    <w:rsid w:val="00BA25F1"/>
    <w:rsid w:val="00BA5E06"/>
    <w:rsid w:val="00BA611B"/>
    <w:rsid w:val="00BA72B8"/>
    <w:rsid w:val="00BB12DE"/>
    <w:rsid w:val="00BB17D5"/>
    <w:rsid w:val="00BB2E23"/>
    <w:rsid w:val="00BB3305"/>
    <w:rsid w:val="00BB3981"/>
    <w:rsid w:val="00BB4904"/>
    <w:rsid w:val="00BB6CB4"/>
    <w:rsid w:val="00BB6D14"/>
    <w:rsid w:val="00BB7939"/>
    <w:rsid w:val="00BB7A32"/>
    <w:rsid w:val="00BC14E0"/>
    <w:rsid w:val="00BC2FA1"/>
    <w:rsid w:val="00BC31AE"/>
    <w:rsid w:val="00BC404C"/>
    <w:rsid w:val="00BC51B7"/>
    <w:rsid w:val="00BC549B"/>
    <w:rsid w:val="00BC5EAB"/>
    <w:rsid w:val="00BC6692"/>
    <w:rsid w:val="00BC730A"/>
    <w:rsid w:val="00BC7905"/>
    <w:rsid w:val="00BC7BA5"/>
    <w:rsid w:val="00BC7CAA"/>
    <w:rsid w:val="00BD0D97"/>
    <w:rsid w:val="00BD0F87"/>
    <w:rsid w:val="00BD17F6"/>
    <w:rsid w:val="00BD1A30"/>
    <w:rsid w:val="00BD1EDC"/>
    <w:rsid w:val="00BD2F9B"/>
    <w:rsid w:val="00BD3279"/>
    <w:rsid w:val="00BD56BB"/>
    <w:rsid w:val="00BD5BE5"/>
    <w:rsid w:val="00BD5C9C"/>
    <w:rsid w:val="00BD6221"/>
    <w:rsid w:val="00BD7CB2"/>
    <w:rsid w:val="00BD7EBB"/>
    <w:rsid w:val="00BE001E"/>
    <w:rsid w:val="00BE0991"/>
    <w:rsid w:val="00BE2418"/>
    <w:rsid w:val="00BE3426"/>
    <w:rsid w:val="00BE6BE0"/>
    <w:rsid w:val="00BE6E62"/>
    <w:rsid w:val="00BE70D4"/>
    <w:rsid w:val="00BF0AA5"/>
    <w:rsid w:val="00BF0EE2"/>
    <w:rsid w:val="00BF188D"/>
    <w:rsid w:val="00BF2424"/>
    <w:rsid w:val="00BF2C69"/>
    <w:rsid w:val="00BF414F"/>
    <w:rsid w:val="00BF4A3E"/>
    <w:rsid w:val="00BF57AC"/>
    <w:rsid w:val="00BF6246"/>
    <w:rsid w:val="00BF7057"/>
    <w:rsid w:val="00BF780F"/>
    <w:rsid w:val="00BF7FD7"/>
    <w:rsid w:val="00C00577"/>
    <w:rsid w:val="00C02D49"/>
    <w:rsid w:val="00C04014"/>
    <w:rsid w:val="00C04428"/>
    <w:rsid w:val="00C06F26"/>
    <w:rsid w:val="00C07278"/>
    <w:rsid w:val="00C111DE"/>
    <w:rsid w:val="00C1292A"/>
    <w:rsid w:val="00C15ADA"/>
    <w:rsid w:val="00C20941"/>
    <w:rsid w:val="00C21589"/>
    <w:rsid w:val="00C21F89"/>
    <w:rsid w:val="00C231F1"/>
    <w:rsid w:val="00C23C36"/>
    <w:rsid w:val="00C27020"/>
    <w:rsid w:val="00C27BED"/>
    <w:rsid w:val="00C32375"/>
    <w:rsid w:val="00C32845"/>
    <w:rsid w:val="00C33B84"/>
    <w:rsid w:val="00C35D65"/>
    <w:rsid w:val="00C35D78"/>
    <w:rsid w:val="00C36AD8"/>
    <w:rsid w:val="00C36FAF"/>
    <w:rsid w:val="00C4181A"/>
    <w:rsid w:val="00C420BF"/>
    <w:rsid w:val="00C45837"/>
    <w:rsid w:val="00C469D4"/>
    <w:rsid w:val="00C51953"/>
    <w:rsid w:val="00C522E9"/>
    <w:rsid w:val="00C524C8"/>
    <w:rsid w:val="00C53CC6"/>
    <w:rsid w:val="00C54011"/>
    <w:rsid w:val="00C5423C"/>
    <w:rsid w:val="00C56F47"/>
    <w:rsid w:val="00C60B9F"/>
    <w:rsid w:val="00C617EC"/>
    <w:rsid w:val="00C61A1D"/>
    <w:rsid w:val="00C6439E"/>
    <w:rsid w:val="00C655C2"/>
    <w:rsid w:val="00C65EDC"/>
    <w:rsid w:val="00C704C4"/>
    <w:rsid w:val="00C70BC9"/>
    <w:rsid w:val="00C71B17"/>
    <w:rsid w:val="00C72FC4"/>
    <w:rsid w:val="00C73156"/>
    <w:rsid w:val="00C748C0"/>
    <w:rsid w:val="00C74FF9"/>
    <w:rsid w:val="00C7530B"/>
    <w:rsid w:val="00C75640"/>
    <w:rsid w:val="00C764F0"/>
    <w:rsid w:val="00C76930"/>
    <w:rsid w:val="00C81B05"/>
    <w:rsid w:val="00C81D5A"/>
    <w:rsid w:val="00C8327F"/>
    <w:rsid w:val="00C83DA9"/>
    <w:rsid w:val="00C8451E"/>
    <w:rsid w:val="00C85A3B"/>
    <w:rsid w:val="00C85AE7"/>
    <w:rsid w:val="00C86049"/>
    <w:rsid w:val="00C86332"/>
    <w:rsid w:val="00C876F3"/>
    <w:rsid w:val="00C90797"/>
    <w:rsid w:val="00C90B98"/>
    <w:rsid w:val="00C92BD7"/>
    <w:rsid w:val="00C92DFA"/>
    <w:rsid w:val="00C93B4C"/>
    <w:rsid w:val="00C93B54"/>
    <w:rsid w:val="00C940FE"/>
    <w:rsid w:val="00C95469"/>
    <w:rsid w:val="00CA07ED"/>
    <w:rsid w:val="00CA10CF"/>
    <w:rsid w:val="00CA1EB4"/>
    <w:rsid w:val="00CA3097"/>
    <w:rsid w:val="00CA3392"/>
    <w:rsid w:val="00CA572A"/>
    <w:rsid w:val="00CA5A67"/>
    <w:rsid w:val="00CA5DA7"/>
    <w:rsid w:val="00CA6769"/>
    <w:rsid w:val="00CB0A0D"/>
    <w:rsid w:val="00CB15F2"/>
    <w:rsid w:val="00CB1F72"/>
    <w:rsid w:val="00CB1FD1"/>
    <w:rsid w:val="00CB2BDA"/>
    <w:rsid w:val="00CB4912"/>
    <w:rsid w:val="00CB4EDE"/>
    <w:rsid w:val="00CC0990"/>
    <w:rsid w:val="00CC1560"/>
    <w:rsid w:val="00CC3F11"/>
    <w:rsid w:val="00CC4236"/>
    <w:rsid w:val="00CC51F0"/>
    <w:rsid w:val="00CC7096"/>
    <w:rsid w:val="00CC7657"/>
    <w:rsid w:val="00CC7D99"/>
    <w:rsid w:val="00CD04B7"/>
    <w:rsid w:val="00CD115F"/>
    <w:rsid w:val="00CD151A"/>
    <w:rsid w:val="00CD3435"/>
    <w:rsid w:val="00CD3AEC"/>
    <w:rsid w:val="00CD40C8"/>
    <w:rsid w:val="00CD6830"/>
    <w:rsid w:val="00CD7001"/>
    <w:rsid w:val="00CE2655"/>
    <w:rsid w:val="00CE2B50"/>
    <w:rsid w:val="00CE332F"/>
    <w:rsid w:val="00CE3633"/>
    <w:rsid w:val="00CE5F74"/>
    <w:rsid w:val="00CE61F2"/>
    <w:rsid w:val="00CF01CD"/>
    <w:rsid w:val="00CF2411"/>
    <w:rsid w:val="00CF28BF"/>
    <w:rsid w:val="00CF3373"/>
    <w:rsid w:val="00CF3959"/>
    <w:rsid w:val="00CF4B11"/>
    <w:rsid w:val="00CF52AF"/>
    <w:rsid w:val="00CF5D17"/>
    <w:rsid w:val="00CF5E82"/>
    <w:rsid w:val="00CF6069"/>
    <w:rsid w:val="00CF6FA9"/>
    <w:rsid w:val="00D0072C"/>
    <w:rsid w:val="00D00A48"/>
    <w:rsid w:val="00D01085"/>
    <w:rsid w:val="00D01942"/>
    <w:rsid w:val="00D02CB1"/>
    <w:rsid w:val="00D03A32"/>
    <w:rsid w:val="00D046C7"/>
    <w:rsid w:val="00D06C7B"/>
    <w:rsid w:val="00D06FDE"/>
    <w:rsid w:val="00D10539"/>
    <w:rsid w:val="00D10A8C"/>
    <w:rsid w:val="00D1106D"/>
    <w:rsid w:val="00D1248E"/>
    <w:rsid w:val="00D12ADB"/>
    <w:rsid w:val="00D14237"/>
    <w:rsid w:val="00D15B8F"/>
    <w:rsid w:val="00D15E3C"/>
    <w:rsid w:val="00D163C0"/>
    <w:rsid w:val="00D169FD"/>
    <w:rsid w:val="00D16CBF"/>
    <w:rsid w:val="00D20654"/>
    <w:rsid w:val="00D23B79"/>
    <w:rsid w:val="00D24A05"/>
    <w:rsid w:val="00D25740"/>
    <w:rsid w:val="00D25838"/>
    <w:rsid w:val="00D30071"/>
    <w:rsid w:val="00D30174"/>
    <w:rsid w:val="00D303A2"/>
    <w:rsid w:val="00D3058F"/>
    <w:rsid w:val="00D32665"/>
    <w:rsid w:val="00D33259"/>
    <w:rsid w:val="00D33617"/>
    <w:rsid w:val="00D3410D"/>
    <w:rsid w:val="00D34857"/>
    <w:rsid w:val="00D34B25"/>
    <w:rsid w:val="00D35835"/>
    <w:rsid w:val="00D36576"/>
    <w:rsid w:val="00D413F3"/>
    <w:rsid w:val="00D41BF9"/>
    <w:rsid w:val="00D41F99"/>
    <w:rsid w:val="00D41FCE"/>
    <w:rsid w:val="00D4218B"/>
    <w:rsid w:val="00D43F36"/>
    <w:rsid w:val="00D4525F"/>
    <w:rsid w:val="00D46691"/>
    <w:rsid w:val="00D4756D"/>
    <w:rsid w:val="00D50C91"/>
    <w:rsid w:val="00D5108B"/>
    <w:rsid w:val="00D51309"/>
    <w:rsid w:val="00D5157A"/>
    <w:rsid w:val="00D53778"/>
    <w:rsid w:val="00D554DF"/>
    <w:rsid w:val="00D5559E"/>
    <w:rsid w:val="00D56218"/>
    <w:rsid w:val="00D563ED"/>
    <w:rsid w:val="00D56DFB"/>
    <w:rsid w:val="00D579DC"/>
    <w:rsid w:val="00D57CF7"/>
    <w:rsid w:val="00D57EDC"/>
    <w:rsid w:val="00D60C8F"/>
    <w:rsid w:val="00D611BA"/>
    <w:rsid w:val="00D626A4"/>
    <w:rsid w:val="00D629AC"/>
    <w:rsid w:val="00D642E9"/>
    <w:rsid w:val="00D6510D"/>
    <w:rsid w:val="00D6538A"/>
    <w:rsid w:val="00D65975"/>
    <w:rsid w:val="00D65EF3"/>
    <w:rsid w:val="00D66904"/>
    <w:rsid w:val="00D66E6D"/>
    <w:rsid w:val="00D676D9"/>
    <w:rsid w:val="00D67BBE"/>
    <w:rsid w:val="00D70702"/>
    <w:rsid w:val="00D7156D"/>
    <w:rsid w:val="00D71FF3"/>
    <w:rsid w:val="00D73360"/>
    <w:rsid w:val="00D743AC"/>
    <w:rsid w:val="00D74B81"/>
    <w:rsid w:val="00D7653E"/>
    <w:rsid w:val="00D774E9"/>
    <w:rsid w:val="00D77758"/>
    <w:rsid w:val="00D80F3E"/>
    <w:rsid w:val="00D811A2"/>
    <w:rsid w:val="00D8140A"/>
    <w:rsid w:val="00D82902"/>
    <w:rsid w:val="00D82923"/>
    <w:rsid w:val="00D82FFB"/>
    <w:rsid w:val="00D847C8"/>
    <w:rsid w:val="00D865EC"/>
    <w:rsid w:val="00D901BC"/>
    <w:rsid w:val="00D924A1"/>
    <w:rsid w:val="00D92D75"/>
    <w:rsid w:val="00D94898"/>
    <w:rsid w:val="00D94BC1"/>
    <w:rsid w:val="00D9503C"/>
    <w:rsid w:val="00D951D8"/>
    <w:rsid w:val="00D96651"/>
    <w:rsid w:val="00D96A95"/>
    <w:rsid w:val="00D97BC9"/>
    <w:rsid w:val="00DA017F"/>
    <w:rsid w:val="00DA1DE3"/>
    <w:rsid w:val="00DA4438"/>
    <w:rsid w:val="00DA53E4"/>
    <w:rsid w:val="00DA5ACD"/>
    <w:rsid w:val="00DA6682"/>
    <w:rsid w:val="00DA74CC"/>
    <w:rsid w:val="00DA7753"/>
    <w:rsid w:val="00DB02E6"/>
    <w:rsid w:val="00DB08D9"/>
    <w:rsid w:val="00DB0DFE"/>
    <w:rsid w:val="00DB1BB2"/>
    <w:rsid w:val="00DB4F81"/>
    <w:rsid w:val="00DB61B1"/>
    <w:rsid w:val="00DB65BA"/>
    <w:rsid w:val="00DB7E56"/>
    <w:rsid w:val="00DC0190"/>
    <w:rsid w:val="00DC0F07"/>
    <w:rsid w:val="00DC1DA8"/>
    <w:rsid w:val="00DC5358"/>
    <w:rsid w:val="00DC5461"/>
    <w:rsid w:val="00DC5898"/>
    <w:rsid w:val="00DC6A87"/>
    <w:rsid w:val="00DC6E30"/>
    <w:rsid w:val="00DC74BF"/>
    <w:rsid w:val="00DC750B"/>
    <w:rsid w:val="00DC7C34"/>
    <w:rsid w:val="00DD06C4"/>
    <w:rsid w:val="00DD0BA5"/>
    <w:rsid w:val="00DD1B43"/>
    <w:rsid w:val="00DD21AF"/>
    <w:rsid w:val="00DD254D"/>
    <w:rsid w:val="00DD3A90"/>
    <w:rsid w:val="00DD471A"/>
    <w:rsid w:val="00DD49E3"/>
    <w:rsid w:val="00DD6F62"/>
    <w:rsid w:val="00DD7AF0"/>
    <w:rsid w:val="00DE033D"/>
    <w:rsid w:val="00DE06F7"/>
    <w:rsid w:val="00DE11BB"/>
    <w:rsid w:val="00DE2216"/>
    <w:rsid w:val="00DE3B28"/>
    <w:rsid w:val="00DE5863"/>
    <w:rsid w:val="00DE64AA"/>
    <w:rsid w:val="00DE7334"/>
    <w:rsid w:val="00DF0374"/>
    <w:rsid w:val="00DF084E"/>
    <w:rsid w:val="00DF0DBC"/>
    <w:rsid w:val="00DF23AB"/>
    <w:rsid w:val="00DF4012"/>
    <w:rsid w:val="00DF45CC"/>
    <w:rsid w:val="00DF4CF0"/>
    <w:rsid w:val="00DF4E07"/>
    <w:rsid w:val="00DF4ECD"/>
    <w:rsid w:val="00DF503D"/>
    <w:rsid w:val="00DF5646"/>
    <w:rsid w:val="00DF5D29"/>
    <w:rsid w:val="00DF65E1"/>
    <w:rsid w:val="00DF678C"/>
    <w:rsid w:val="00E01862"/>
    <w:rsid w:val="00E028EA"/>
    <w:rsid w:val="00E04287"/>
    <w:rsid w:val="00E04F8E"/>
    <w:rsid w:val="00E056B0"/>
    <w:rsid w:val="00E058B1"/>
    <w:rsid w:val="00E05DC6"/>
    <w:rsid w:val="00E07619"/>
    <w:rsid w:val="00E079E2"/>
    <w:rsid w:val="00E10850"/>
    <w:rsid w:val="00E109E4"/>
    <w:rsid w:val="00E11017"/>
    <w:rsid w:val="00E11F8A"/>
    <w:rsid w:val="00E12B84"/>
    <w:rsid w:val="00E13B7E"/>
    <w:rsid w:val="00E140B0"/>
    <w:rsid w:val="00E149D7"/>
    <w:rsid w:val="00E167BC"/>
    <w:rsid w:val="00E2099A"/>
    <w:rsid w:val="00E23C74"/>
    <w:rsid w:val="00E23E0C"/>
    <w:rsid w:val="00E2507E"/>
    <w:rsid w:val="00E27669"/>
    <w:rsid w:val="00E312E6"/>
    <w:rsid w:val="00E31B00"/>
    <w:rsid w:val="00E32E48"/>
    <w:rsid w:val="00E34E24"/>
    <w:rsid w:val="00E35098"/>
    <w:rsid w:val="00E35211"/>
    <w:rsid w:val="00E35237"/>
    <w:rsid w:val="00E36CAD"/>
    <w:rsid w:val="00E36D61"/>
    <w:rsid w:val="00E376F2"/>
    <w:rsid w:val="00E42282"/>
    <w:rsid w:val="00E4263A"/>
    <w:rsid w:val="00E42B08"/>
    <w:rsid w:val="00E42D66"/>
    <w:rsid w:val="00E42E3B"/>
    <w:rsid w:val="00E45B07"/>
    <w:rsid w:val="00E45B5F"/>
    <w:rsid w:val="00E461F8"/>
    <w:rsid w:val="00E46BE7"/>
    <w:rsid w:val="00E46DB2"/>
    <w:rsid w:val="00E479D1"/>
    <w:rsid w:val="00E501E2"/>
    <w:rsid w:val="00E51830"/>
    <w:rsid w:val="00E51AFF"/>
    <w:rsid w:val="00E5205D"/>
    <w:rsid w:val="00E52599"/>
    <w:rsid w:val="00E525D6"/>
    <w:rsid w:val="00E52712"/>
    <w:rsid w:val="00E52D39"/>
    <w:rsid w:val="00E53767"/>
    <w:rsid w:val="00E53F7C"/>
    <w:rsid w:val="00E53FFD"/>
    <w:rsid w:val="00E55460"/>
    <w:rsid w:val="00E55CF5"/>
    <w:rsid w:val="00E56704"/>
    <w:rsid w:val="00E6009D"/>
    <w:rsid w:val="00E60A61"/>
    <w:rsid w:val="00E61F9C"/>
    <w:rsid w:val="00E62CEA"/>
    <w:rsid w:val="00E6345A"/>
    <w:rsid w:val="00E63C99"/>
    <w:rsid w:val="00E65325"/>
    <w:rsid w:val="00E6774D"/>
    <w:rsid w:val="00E67976"/>
    <w:rsid w:val="00E7097C"/>
    <w:rsid w:val="00E70E0C"/>
    <w:rsid w:val="00E71CFA"/>
    <w:rsid w:val="00E72D42"/>
    <w:rsid w:val="00E7436A"/>
    <w:rsid w:val="00E75B86"/>
    <w:rsid w:val="00E76A16"/>
    <w:rsid w:val="00E77223"/>
    <w:rsid w:val="00E77D07"/>
    <w:rsid w:val="00E80613"/>
    <w:rsid w:val="00E8228E"/>
    <w:rsid w:val="00E825EF"/>
    <w:rsid w:val="00E85453"/>
    <w:rsid w:val="00E86691"/>
    <w:rsid w:val="00E90516"/>
    <w:rsid w:val="00E909BC"/>
    <w:rsid w:val="00E912AB"/>
    <w:rsid w:val="00E92BB4"/>
    <w:rsid w:val="00E9372E"/>
    <w:rsid w:val="00E93C63"/>
    <w:rsid w:val="00E94994"/>
    <w:rsid w:val="00E95B4B"/>
    <w:rsid w:val="00E96C45"/>
    <w:rsid w:val="00E97EC8"/>
    <w:rsid w:val="00EA1981"/>
    <w:rsid w:val="00EA22CB"/>
    <w:rsid w:val="00EA22D3"/>
    <w:rsid w:val="00EA30EB"/>
    <w:rsid w:val="00EA391B"/>
    <w:rsid w:val="00EA4F20"/>
    <w:rsid w:val="00EA5C6B"/>
    <w:rsid w:val="00EA69B8"/>
    <w:rsid w:val="00EB150E"/>
    <w:rsid w:val="00EB1C1B"/>
    <w:rsid w:val="00EB22E3"/>
    <w:rsid w:val="00EB458A"/>
    <w:rsid w:val="00EB6426"/>
    <w:rsid w:val="00EB6E33"/>
    <w:rsid w:val="00EC15F6"/>
    <w:rsid w:val="00EC1F42"/>
    <w:rsid w:val="00EC2E62"/>
    <w:rsid w:val="00EC3712"/>
    <w:rsid w:val="00EC3DC4"/>
    <w:rsid w:val="00EC4980"/>
    <w:rsid w:val="00EC5540"/>
    <w:rsid w:val="00ED2240"/>
    <w:rsid w:val="00ED3923"/>
    <w:rsid w:val="00ED393B"/>
    <w:rsid w:val="00ED5407"/>
    <w:rsid w:val="00ED66FB"/>
    <w:rsid w:val="00ED7BC5"/>
    <w:rsid w:val="00EE25E2"/>
    <w:rsid w:val="00EE30BF"/>
    <w:rsid w:val="00EE3867"/>
    <w:rsid w:val="00EE483A"/>
    <w:rsid w:val="00EF0A84"/>
    <w:rsid w:val="00EF19FC"/>
    <w:rsid w:val="00EF2A5C"/>
    <w:rsid w:val="00EF2B87"/>
    <w:rsid w:val="00EF5F7B"/>
    <w:rsid w:val="00EF7248"/>
    <w:rsid w:val="00EF7754"/>
    <w:rsid w:val="00F00AA5"/>
    <w:rsid w:val="00F00BAE"/>
    <w:rsid w:val="00F0243A"/>
    <w:rsid w:val="00F0562A"/>
    <w:rsid w:val="00F05729"/>
    <w:rsid w:val="00F06269"/>
    <w:rsid w:val="00F07B47"/>
    <w:rsid w:val="00F11EF9"/>
    <w:rsid w:val="00F1285E"/>
    <w:rsid w:val="00F1370C"/>
    <w:rsid w:val="00F14549"/>
    <w:rsid w:val="00F1603D"/>
    <w:rsid w:val="00F169BE"/>
    <w:rsid w:val="00F178E0"/>
    <w:rsid w:val="00F17E33"/>
    <w:rsid w:val="00F20FD8"/>
    <w:rsid w:val="00F211C4"/>
    <w:rsid w:val="00F22CA0"/>
    <w:rsid w:val="00F23522"/>
    <w:rsid w:val="00F2362D"/>
    <w:rsid w:val="00F236CA"/>
    <w:rsid w:val="00F23A55"/>
    <w:rsid w:val="00F23FC0"/>
    <w:rsid w:val="00F2580F"/>
    <w:rsid w:val="00F25F32"/>
    <w:rsid w:val="00F261A2"/>
    <w:rsid w:val="00F26E2C"/>
    <w:rsid w:val="00F270E0"/>
    <w:rsid w:val="00F30348"/>
    <w:rsid w:val="00F31B52"/>
    <w:rsid w:val="00F32340"/>
    <w:rsid w:val="00F331D7"/>
    <w:rsid w:val="00F3396B"/>
    <w:rsid w:val="00F33C0B"/>
    <w:rsid w:val="00F34F69"/>
    <w:rsid w:val="00F35690"/>
    <w:rsid w:val="00F357B6"/>
    <w:rsid w:val="00F35CDB"/>
    <w:rsid w:val="00F3732D"/>
    <w:rsid w:val="00F403A7"/>
    <w:rsid w:val="00F415FC"/>
    <w:rsid w:val="00F41B42"/>
    <w:rsid w:val="00F421DB"/>
    <w:rsid w:val="00F42260"/>
    <w:rsid w:val="00F42E16"/>
    <w:rsid w:val="00F43018"/>
    <w:rsid w:val="00F43A73"/>
    <w:rsid w:val="00F44DCC"/>
    <w:rsid w:val="00F51421"/>
    <w:rsid w:val="00F52F31"/>
    <w:rsid w:val="00F543A1"/>
    <w:rsid w:val="00F54A7F"/>
    <w:rsid w:val="00F601A7"/>
    <w:rsid w:val="00F60262"/>
    <w:rsid w:val="00F60A7A"/>
    <w:rsid w:val="00F60D13"/>
    <w:rsid w:val="00F6137D"/>
    <w:rsid w:val="00F6201D"/>
    <w:rsid w:val="00F62484"/>
    <w:rsid w:val="00F67BD7"/>
    <w:rsid w:val="00F70F3D"/>
    <w:rsid w:val="00F71361"/>
    <w:rsid w:val="00F718B1"/>
    <w:rsid w:val="00F72F2B"/>
    <w:rsid w:val="00F73D3D"/>
    <w:rsid w:val="00F7535C"/>
    <w:rsid w:val="00F75441"/>
    <w:rsid w:val="00F76309"/>
    <w:rsid w:val="00F768BB"/>
    <w:rsid w:val="00F77BBE"/>
    <w:rsid w:val="00F82533"/>
    <w:rsid w:val="00F82DEF"/>
    <w:rsid w:val="00F8320C"/>
    <w:rsid w:val="00F83D2C"/>
    <w:rsid w:val="00F8501A"/>
    <w:rsid w:val="00F85829"/>
    <w:rsid w:val="00F85DB0"/>
    <w:rsid w:val="00F867C5"/>
    <w:rsid w:val="00F8721C"/>
    <w:rsid w:val="00F90D57"/>
    <w:rsid w:val="00F916F3"/>
    <w:rsid w:val="00F922EC"/>
    <w:rsid w:val="00F93116"/>
    <w:rsid w:val="00F9391E"/>
    <w:rsid w:val="00F93951"/>
    <w:rsid w:val="00F93BFE"/>
    <w:rsid w:val="00F94450"/>
    <w:rsid w:val="00F96858"/>
    <w:rsid w:val="00F96E0B"/>
    <w:rsid w:val="00F970B5"/>
    <w:rsid w:val="00F9740B"/>
    <w:rsid w:val="00FA2822"/>
    <w:rsid w:val="00FA2EF5"/>
    <w:rsid w:val="00FA5C48"/>
    <w:rsid w:val="00FA7D81"/>
    <w:rsid w:val="00FA7E1C"/>
    <w:rsid w:val="00FA7F75"/>
    <w:rsid w:val="00FB1C5B"/>
    <w:rsid w:val="00FB4482"/>
    <w:rsid w:val="00FB465F"/>
    <w:rsid w:val="00FB4765"/>
    <w:rsid w:val="00FB5305"/>
    <w:rsid w:val="00FB7538"/>
    <w:rsid w:val="00FB757D"/>
    <w:rsid w:val="00FC199C"/>
    <w:rsid w:val="00FC23A2"/>
    <w:rsid w:val="00FC2B42"/>
    <w:rsid w:val="00FC33F8"/>
    <w:rsid w:val="00FC39D1"/>
    <w:rsid w:val="00FC5F07"/>
    <w:rsid w:val="00FC5FBA"/>
    <w:rsid w:val="00FC6A48"/>
    <w:rsid w:val="00FC77EB"/>
    <w:rsid w:val="00FD2D00"/>
    <w:rsid w:val="00FD36BD"/>
    <w:rsid w:val="00FD3B4A"/>
    <w:rsid w:val="00FD491E"/>
    <w:rsid w:val="00FD5345"/>
    <w:rsid w:val="00FD7004"/>
    <w:rsid w:val="00FD7405"/>
    <w:rsid w:val="00FE05DD"/>
    <w:rsid w:val="00FE26D5"/>
    <w:rsid w:val="00FE2F9B"/>
    <w:rsid w:val="00FE36BD"/>
    <w:rsid w:val="00FE45D0"/>
    <w:rsid w:val="00FE491F"/>
    <w:rsid w:val="00FE6D33"/>
    <w:rsid w:val="00FF1D9B"/>
    <w:rsid w:val="00FF4DF3"/>
    <w:rsid w:val="00FF4F2D"/>
    <w:rsid w:val="00FF53DC"/>
    <w:rsid w:val="00FF68D1"/>
    <w:rsid w:val="00FF6A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FE1E7C0"/>
  <w15:chartTrackingRefBased/>
  <w15:docId w15:val="{1262E15B-B52A-4C0B-B033-9C9EFB420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heme="minorBidi"/>
        <w:lang w:val="en-GB" w:eastAsia="en-GB" w:bidi="ar-SA"/>
      </w:rPr>
    </w:rPrDefault>
    <w:pPrDefault>
      <w:pPr>
        <w:spacing w:line="216" w:lineRule="auto"/>
      </w:pPr>
    </w:pPrDefault>
  </w:docDefaults>
  <w:latentStyles w:defLockedState="1" w:defUIPriority="99" w:defSemiHidden="0" w:defUnhideWhenUsed="0" w:defQFormat="0" w:count="376">
    <w:lsdException w:name="Normal" w:locked="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locked="0"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locked="0"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0" w:unhideWhenUsed="1" w:qFormat="1"/>
    <w:lsdException w:name="Quote" w:semiHidden="1" w:unhideWhenUsed="1"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default="1" w:styleId="Normal">
    <w:name w:val="Normal"/>
    <w:uiPriority w:val="99"/>
    <w:qFormat/>
    <w:rsid w:val="00D56218"/>
  </w:style>
  <w:style w:type="paragraph" w:styleId="Heading1">
    <w:name w:val="heading 1"/>
    <w:basedOn w:val="Normal"/>
    <w:next w:val="BodyText"/>
    <w:link w:val="Heading1Char"/>
    <w:qFormat/>
    <w:locked/>
    <w:rsid w:val="00095532"/>
    <w:pPr>
      <w:keepNext/>
      <w:keepLines/>
      <w:pageBreakBefore/>
      <w:numPr>
        <w:numId w:val="21"/>
      </w:numPr>
      <w:spacing w:before="240" w:after="120"/>
      <w:outlineLvl w:val="0"/>
    </w:pPr>
    <w:rPr>
      <w:rFonts w:eastAsiaTheme="majorEastAsia" w:cstheme="majorBidi"/>
      <w:b/>
      <w:color w:val="231EDC" w:themeColor="accent1"/>
      <w:sz w:val="32"/>
      <w:szCs w:val="32"/>
    </w:rPr>
  </w:style>
  <w:style w:type="paragraph" w:styleId="Heading2">
    <w:name w:val="heading 2"/>
    <w:basedOn w:val="Normal"/>
    <w:next w:val="BodyText"/>
    <w:link w:val="Heading2Char"/>
    <w:qFormat/>
    <w:locked/>
    <w:rsid w:val="00095532"/>
    <w:pPr>
      <w:keepNext/>
      <w:keepLines/>
      <w:numPr>
        <w:ilvl w:val="1"/>
        <w:numId w:val="21"/>
      </w:numPr>
      <w:spacing w:before="240" w:after="120"/>
      <w:outlineLvl w:val="1"/>
    </w:pPr>
    <w:rPr>
      <w:rFonts w:eastAsiaTheme="majorEastAsia" w:cstheme="majorBidi"/>
      <w:b/>
      <w:sz w:val="28"/>
      <w:szCs w:val="26"/>
    </w:rPr>
  </w:style>
  <w:style w:type="paragraph" w:styleId="Heading3">
    <w:name w:val="heading 3"/>
    <w:basedOn w:val="Normal"/>
    <w:next w:val="BodyText"/>
    <w:link w:val="Heading3Char"/>
    <w:qFormat/>
    <w:locked/>
    <w:rsid w:val="00095532"/>
    <w:pPr>
      <w:keepNext/>
      <w:keepLines/>
      <w:numPr>
        <w:ilvl w:val="2"/>
        <w:numId w:val="21"/>
      </w:numPr>
      <w:spacing w:before="240" w:after="120"/>
      <w:outlineLvl w:val="2"/>
    </w:pPr>
    <w:rPr>
      <w:rFonts w:eastAsiaTheme="majorEastAsia" w:cstheme="majorBidi"/>
      <w:b/>
      <w:sz w:val="26"/>
      <w:szCs w:val="24"/>
    </w:rPr>
  </w:style>
  <w:style w:type="paragraph" w:styleId="Heading4">
    <w:name w:val="heading 4"/>
    <w:basedOn w:val="Normal"/>
    <w:next w:val="BodyText"/>
    <w:link w:val="Heading4Char"/>
    <w:qFormat/>
    <w:locked/>
    <w:rsid w:val="00095532"/>
    <w:pPr>
      <w:keepNext/>
      <w:keepLines/>
      <w:numPr>
        <w:ilvl w:val="3"/>
        <w:numId w:val="21"/>
      </w:numPr>
      <w:spacing w:before="240" w:after="120"/>
      <w:outlineLvl w:val="3"/>
    </w:pPr>
    <w:rPr>
      <w:rFonts w:eastAsiaTheme="majorEastAsia" w:cstheme="majorBidi"/>
      <w:b/>
      <w:iCs/>
      <w:sz w:val="24"/>
    </w:rPr>
  </w:style>
  <w:style w:type="paragraph" w:styleId="Heading5">
    <w:name w:val="heading 5"/>
    <w:basedOn w:val="Normal"/>
    <w:next w:val="BodyText"/>
    <w:link w:val="Heading5Char"/>
    <w:qFormat/>
    <w:locked/>
    <w:rsid w:val="00095532"/>
    <w:pPr>
      <w:keepNext/>
      <w:keepLines/>
      <w:numPr>
        <w:ilvl w:val="4"/>
        <w:numId w:val="21"/>
      </w:numPr>
      <w:spacing w:before="240" w:after="120"/>
      <w:outlineLvl w:val="4"/>
    </w:pPr>
    <w:rPr>
      <w:rFonts w:eastAsiaTheme="majorEastAsia" w:cstheme="majorBidi"/>
      <w:b/>
      <w:sz w:val="22"/>
    </w:rPr>
  </w:style>
  <w:style w:type="paragraph" w:styleId="Heading6">
    <w:name w:val="heading 6"/>
    <w:basedOn w:val="Normal"/>
    <w:next w:val="BodyText"/>
    <w:link w:val="Heading6Char"/>
    <w:qFormat/>
    <w:rsid w:val="00095532"/>
    <w:pPr>
      <w:keepNext/>
      <w:keepLines/>
      <w:numPr>
        <w:ilvl w:val="5"/>
        <w:numId w:val="21"/>
      </w:numPr>
      <w:spacing w:before="240" w:after="120"/>
      <w:outlineLvl w:val="5"/>
    </w:pPr>
    <w:rPr>
      <w:rFonts w:eastAsiaTheme="majorEastAsia" w:cstheme="majorBidi"/>
      <w:b/>
    </w:rPr>
  </w:style>
  <w:style w:type="paragraph" w:styleId="Heading7">
    <w:name w:val="heading 7"/>
    <w:basedOn w:val="Normal"/>
    <w:next w:val="Normal"/>
    <w:link w:val="Heading7Char"/>
    <w:uiPriority w:val="99"/>
    <w:semiHidden/>
    <w:qFormat/>
    <w:locked/>
    <w:rsid w:val="00095532"/>
    <w:pPr>
      <w:keepNext/>
      <w:keepLines/>
      <w:spacing w:before="40"/>
      <w:outlineLvl w:val="6"/>
    </w:pPr>
    <w:rPr>
      <w:rFonts w:eastAsiaTheme="majorEastAsia" w:cstheme="majorBidi"/>
      <w:i/>
      <w:iCs/>
      <w:color w:val="110F6D" w:themeColor="accent1" w:themeShade="7F"/>
    </w:rPr>
  </w:style>
  <w:style w:type="paragraph" w:styleId="Heading8">
    <w:name w:val="heading 8"/>
    <w:basedOn w:val="Normal"/>
    <w:next w:val="Normal"/>
    <w:link w:val="Heading8Char"/>
    <w:uiPriority w:val="99"/>
    <w:semiHidden/>
    <w:qFormat/>
    <w:locked/>
    <w:rsid w:val="00095532"/>
    <w:pPr>
      <w:keepNext/>
      <w:keepLines/>
      <w:spacing w:before="40"/>
      <w:outlineLvl w:val="7"/>
    </w:pPr>
    <w:rPr>
      <w:rFonts w:eastAsiaTheme="majorEastAsia" w:cstheme="majorBidi"/>
      <w:color w:val="272727" w:themeColor="text1" w:themeTint="D8"/>
      <w:sz w:val="21"/>
      <w:szCs w:val="21"/>
    </w:rPr>
  </w:style>
  <w:style w:type="paragraph" w:styleId="Heading9">
    <w:name w:val="heading 9"/>
    <w:aliases w:val="Appendix"/>
    <w:basedOn w:val="Normal"/>
    <w:next w:val="BodyText"/>
    <w:link w:val="Heading9Char"/>
    <w:uiPriority w:val="99"/>
    <w:semiHidden/>
    <w:locked/>
    <w:rsid w:val="00095532"/>
    <w:pPr>
      <w:keepNext/>
      <w:keepLines/>
      <w:pageBreakBefore/>
      <w:spacing w:before="40"/>
      <w:outlineLvl w:val="8"/>
    </w:pPr>
    <w:rPr>
      <w:rFonts w:eastAsiaTheme="majorEastAsia" w:cstheme="majorBidi"/>
      <w:b/>
      <w:iCs/>
      <w:color w:val="231EDC" w:themeColor="accent1"/>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95532"/>
    <w:rPr>
      <w:rFonts w:asciiTheme="minorHAnsi" w:hAnsiTheme="minorHAnsi"/>
      <w:color w:val="333333" w:themeColor="text2"/>
      <w:sz w:val="24"/>
    </w:rPr>
  </w:style>
  <w:style w:type="character" w:customStyle="1" w:styleId="HeaderChar">
    <w:name w:val="Header Char"/>
    <w:basedOn w:val="DefaultParagraphFont"/>
    <w:link w:val="Header"/>
    <w:uiPriority w:val="99"/>
    <w:semiHidden/>
    <w:rsid w:val="00095532"/>
    <w:rPr>
      <w:rFonts w:asciiTheme="minorHAnsi" w:hAnsiTheme="minorHAnsi"/>
      <w:color w:val="333333" w:themeColor="text2"/>
      <w:sz w:val="24"/>
    </w:rPr>
  </w:style>
  <w:style w:type="paragraph" w:styleId="Footer">
    <w:name w:val="footer"/>
    <w:basedOn w:val="Normal"/>
    <w:link w:val="FooterChar"/>
    <w:uiPriority w:val="99"/>
    <w:semiHidden/>
    <w:locked/>
    <w:rsid w:val="00095532"/>
    <w:rPr>
      <w:rFonts w:asciiTheme="minorHAnsi" w:hAnsiTheme="minorHAnsi"/>
      <w:color w:val="333333" w:themeColor="text2"/>
      <w:sz w:val="16"/>
    </w:rPr>
  </w:style>
  <w:style w:type="character" w:customStyle="1" w:styleId="FooterChar">
    <w:name w:val="Footer Char"/>
    <w:basedOn w:val="DefaultParagraphFont"/>
    <w:link w:val="Footer"/>
    <w:uiPriority w:val="99"/>
    <w:semiHidden/>
    <w:rsid w:val="00095532"/>
    <w:rPr>
      <w:rFonts w:asciiTheme="minorHAnsi" w:hAnsiTheme="minorHAnsi"/>
      <w:color w:val="333333" w:themeColor="text2"/>
      <w:sz w:val="16"/>
    </w:rPr>
  </w:style>
  <w:style w:type="table" w:styleId="TableGrid">
    <w:name w:val="Table Grid"/>
    <w:basedOn w:val="TableNormal"/>
    <w:uiPriority w:val="39"/>
    <w:locked/>
    <w:rsid w:val="0009553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Number">
    <w:name w:val="Body Text 1 Number"/>
    <w:basedOn w:val="Normal"/>
    <w:uiPriority w:val="2"/>
    <w:rsid w:val="00095532"/>
    <w:pPr>
      <w:numPr>
        <w:numId w:val="22"/>
      </w:numPr>
      <w:spacing w:before="180" w:after="120"/>
      <w:ind w:left="357" w:hanging="357"/>
      <w:contextualSpacing/>
    </w:pPr>
  </w:style>
  <w:style w:type="paragraph" w:customStyle="1" w:styleId="BodyText2Letter">
    <w:name w:val="Body Text 2 Letter"/>
    <w:basedOn w:val="Normal"/>
    <w:uiPriority w:val="2"/>
    <w:rsid w:val="00095532"/>
    <w:pPr>
      <w:numPr>
        <w:ilvl w:val="1"/>
        <w:numId w:val="22"/>
      </w:numPr>
      <w:spacing w:after="120"/>
      <w:ind w:left="714" w:hanging="357"/>
      <w:contextualSpacing/>
    </w:pPr>
  </w:style>
  <w:style w:type="paragraph" w:customStyle="1" w:styleId="BodyText3Roman">
    <w:name w:val="Body Text 3 Roman"/>
    <w:basedOn w:val="Normal"/>
    <w:uiPriority w:val="2"/>
    <w:rsid w:val="00095532"/>
    <w:pPr>
      <w:numPr>
        <w:ilvl w:val="2"/>
        <w:numId w:val="22"/>
      </w:numPr>
      <w:spacing w:after="120"/>
      <w:ind w:left="1071" w:hanging="357"/>
      <w:contextualSpacing/>
    </w:pPr>
  </w:style>
  <w:style w:type="paragraph" w:customStyle="1" w:styleId="TableText">
    <w:name w:val="Table Text"/>
    <w:basedOn w:val="BodyText"/>
    <w:uiPriority w:val="4"/>
    <w:rsid w:val="00890CF7"/>
    <w:pPr>
      <w:spacing w:before="40" w:after="40"/>
    </w:pPr>
  </w:style>
  <w:style w:type="character" w:customStyle="1" w:styleId="Heading1Char">
    <w:name w:val="Heading 1 Char"/>
    <w:basedOn w:val="DefaultParagraphFont"/>
    <w:link w:val="Heading1"/>
    <w:rsid w:val="00095532"/>
    <w:rPr>
      <w:rFonts w:eastAsiaTheme="majorEastAsia" w:cstheme="majorBidi"/>
      <w:b/>
      <w:color w:val="231EDC" w:themeColor="accent1"/>
      <w:sz w:val="32"/>
      <w:szCs w:val="32"/>
    </w:rPr>
  </w:style>
  <w:style w:type="paragraph" w:customStyle="1" w:styleId="BulletLevel1">
    <w:name w:val="Bullet Level 1"/>
    <w:basedOn w:val="Normal"/>
    <w:uiPriority w:val="2"/>
    <w:rsid w:val="00095532"/>
    <w:pPr>
      <w:numPr>
        <w:numId w:val="31"/>
      </w:numPr>
      <w:spacing w:before="120" w:after="60"/>
      <w:ind w:left="357" w:hanging="357"/>
      <w:contextualSpacing/>
    </w:pPr>
  </w:style>
  <w:style w:type="paragraph" w:customStyle="1" w:styleId="TableHeading">
    <w:name w:val="Table Heading"/>
    <w:basedOn w:val="Normal"/>
    <w:uiPriority w:val="3"/>
    <w:rsid w:val="00095532"/>
    <w:pPr>
      <w:keepNext/>
      <w:spacing w:before="60" w:after="60"/>
    </w:pPr>
    <w:rPr>
      <w:rFonts w:asciiTheme="minorHAnsi" w:hAnsiTheme="minorHAnsi"/>
      <w:b/>
      <w:sz w:val="22"/>
    </w:rPr>
  </w:style>
  <w:style w:type="paragraph" w:customStyle="1" w:styleId="BulletLevel2">
    <w:name w:val="Bullet Level 2"/>
    <w:basedOn w:val="Normal"/>
    <w:uiPriority w:val="2"/>
    <w:rsid w:val="00095532"/>
    <w:pPr>
      <w:numPr>
        <w:ilvl w:val="1"/>
        <w:numId w:val="31"/>
      </w:numPr>
      <w:spacing w:before="120" w:after="60"/>
      <w:ind w:left="714" w:hanging="357"/>
      <w:contextualSpacing/>
    </w:pPr>
  </w:style>
  <w:style w:type="paragraph" w:customStyle="1" w:styleId="BulletLevel3">
    <w:name w:val="Bullet Level 3"/>
    <w:basedOn w:val="Normal"/>
    <w:uiPriority w:val="2"/>
    <w:rsid w:val="00707F7C"/>
    <w:pPr>
      <w:numPr>
        <w:ilvl w:val="2"/>
        <w:numId w:val="31"/>
      </w:numPr>
      <w:spacing w:before="240" w:after="300" w:line="240" w:lineRule="auto"/>
      <w:ind w:left="284"/>
      <w:contextualSpacing/>
    </w:pPr>
  </w:style>
  <w:style w:type="character" w:customStyle="1" w:styleId="Heading3Char">
    <w:name w:val="Heading 3 Char"/>
    <w:basedOn w:val="DefaultParagraphFont"/>
    <w:link w:val="Heading3"/>
    <w:rsid w:val="00095532"/>
    <w:rPr>
      <w:rFonts w:eastAsiaTheme="majorEastAsia" w:cstheme="majorBidi"/>
      <w:b/>
      <w:sz w:val="26"/>
      <w:szCs w:val="24"/>
    </w:rPr>
  </w:style>
  <w:style w:type="paragraph" w:customStyle="1" w:styleId="AppendixHeading2">
    <w:name w:val="Appendix Heading 2"/>
    <w:basedOn w:val="Normal"/>
    <w:next w:val="BodyText"/>
    <w:uiPriority w:val="20"/>
    <w:rsid w:val="00095532"/>
    <w:pPr>
      <w:keepNext/>
      <w:numPr>
        <w:ilvl w:val="1"/>
        <w:numId w:val="18"/>
      </w:numPr>
      <w:spacing w:before="240" w:after="120"/>
      <w:outlineLvl w:val="1"/>
    </w:pPr>
    <w:rPr>
      <w:b/>
      <w:sz w:val="28"/>
    </w:rPr>
  </w:style>
  <w:style w:type="paragraph" w:customStyle="1" w:styleId="AppendixHeading3">
    <w:name w:val="Appendix Heading 3"/>
    <w:basedOn w:val="Normal"/>
    <w:next w:val="BodyText"/>
    <w:uiPriority w:val="20"/>
    <w:rsid w:val="00095532"/>
    <w:pPr>
      <w:keepNext/>
      <w:numPr>
        <w:ilvl w:val="2"/>
        <w:numId w:val="18"/>
      </w:numPr>
      <w:spacing w:before="240" w:after="120"/>
      <w:outlineLvl w:val="2"/>
    </w:pPr>
    <w:rPr>
      <w:b/>
      <w:sz w:val="24"/>
    </w:rPr>
  </w:style>
  <w:style w:type="paragraph" w:customStyle="1" w:styleId="AppendixHeading4">
    <w:name w:val="Appendix Heading 4"/>
    <w:basedOn w:val="Normal"/>
    <w:next w:val="BodyText"/>
    <w:uiPriority w:val="20"/>
    <w:rsid w:val="00095532"/>
    <w:pPr>
      <w:keepNext/>
      <w:numPr>
        <w:ilvl w:val="3"/>
        <w:numId w:val="18"/>
      </w:numPr>
      <w:spacing w:before="240" w:after="120"/>
      <w:outlineLvl w:val="3"/>
    </w:pPr>
    <w:rPr>
      <w:b/>
      <w:sz w:val="22"/>
    </w:rPr>
  </w:style>
  <w:style w:type="paragraph" w:customStyle="1" w:styleId="TableBullet">
    <w:name w:val="Table Bullet"/>
    <w:basedOn w:val="Normal"/>
    <w:uiPriority w:val="6"/>
    <w:rsid w:val="000B7D73"/>
    <w:pPr>
      <w:spacing w:before="40" w:after="40"/>
      <w:ind w:left="360" w:hanging="360"/>
    </w:pPr>
    <w:rPr>
      <w:rFonts w:ascii="Jacobs Chronos" w:hAnsi="Jacobs Chronos"/>
      <w:sz w:val="18"/>
    </w:rPr>
  </w:style>
  <w:style w:type="paragraph" w:customStyle="1" w:styleId="FigureNumberandTitle">
    <w:name w:val="Figure Number and Title"/>
    <w:next w:val="FigureCaption"/>
    <w:uiPriority w:val="99"/>
    <w:semiHidden/>
    <w:rsid w:val="00552B1D"/>
    <w:pPr>
      <w:spacing w:before="120" w:after="40"/>
      <w:ind w:left="907" w:hanging="907"/>
    </w:pPr>
    <w:rPr>
      <w:b/>
    </w:rPr>
  </w:style>
  <w:style w:type="paragraph" w:customStyle="1" w:styleId="Sourcecitation">
    <w:name w:val="Source/citation"/>
    <w:next w:val="BodyText"/>
    <w:uiPriority w:val="99"/>
    <w:semiHidden/>
    <w:rsid w:val="004B2105"/>
    <w:pPr>
      <w:spacing w:before="40" w:after="40"/>
    </w:pPr>
    <w:rPr>
      <w:i/>
      <w:sz w:val="18"/>
    </w:rPr>
  </w:style>
  <w:style w:type="paragraph" w:customStyle="1" w:styleId="CoverHeading">
    <w:name w:val="Cover Heading"/>
    <w:basedOn w:val="Normal"/>
    <w:uiPriority w:val="99"/>
    <w:semiHidden/>
    <w:rsid w:val="00095532"/>
    <w:pPr>
      <w:spacing w:before="240" w:after="1200"/>
    </w:pPr>
    <w:rPr>
      <w:b/>
      <w:color w:val="231EDC" w:themeColor="accent1"/>
      <w:sz w:val="52"/>
    </w:rPr>
  </w:style>
  <w:style w:type="paragraph" w:customStyle="1" w:styleId="CoverInformationBold">
    <w:name w:val="Cover Information Bold"/>
    <w:basedOn w:val="CoverInformation"/>
    <w:uiPriority w:val="99"/>
    <w:semiHidden/>
    <w:rsid w:val="00392D1A"/>
    <w:pPr>
      <w:spacing w:after="0"/>
    </w:pPr>
    <w:rPr>
      <w:b/>
      <w:bCs/>
    </w:rPr>
  </w:style>
  <w:style w:type="paragraph" w:customStyle="1" w:styleId="CoverInformation">
    <w:name w:val="Cover Information"/>
    <w:basedOn w:val="Normal"/>
    <w:uiPriority w:val="99"/>
    <w:semiHidden/>
    <w:rsid w:val="00095532"/>
    <w:pPr>
      <w:spacing w:after="480"/>
      <w:contextualSpacing/>
    </w:pPr>
    <w:rPr>
      <w:rFonts w:asciiTheme="minorHAnsi" w:hAnsiTheme="minorHAnsi"/>
      <w:sz w:val="28"/>
    </w:rPr>
  </w:style>
  <w:style w:type="paragraph" w:customStyle="1" w:styleId="TableText1Number">
    <w:name w:val="Table Text 1 Number"/>
    <w:basedOn w:val="TableText"/>
    <w:uiPriority w:val="99"/>
    <w:semiHidden/>
    <w:rsid w:val="008E484D"/>
    <w:pPr>
      <w:numPr>
        <w:numId w:val="14"/>
      </w:numPr>
    </w:pPr>
  </w:style>
  <w:style w:type="paragraph" w:customStyle="1" w:styleId="Disclaimer">
    <w:name w:val="Disclaimer"/>
    <w:basedOn w:val="Normal"/>
    <w:uiPriority w:val="99"/>
    <w:semiHidden/>
    <w:rsid w:val="00095532"/>
    <w:pPr>
      <w:spacing w:before="180"/>
    </w:pPr>
    <w:rPr>
      <w:rFonts w:asciiTheme="minorHAnsi" w:hAnsiTheme="minorHAnsi"/>
      <w:sz w:val="16"/>
    </w:rPr>
  </w:style>
  <w:style w:type="character" w:customStyle="1" w:styleId="Heading2Char">
    <w:name w:val="Heading 2 Char"/>
    <w:basedOn w:val="DefaultParagraphFont"/>
    <w:link w:val="Heading2"/>
    <w:rsid w:val="00095532"/>
    <w:rPr>
      <w:rFonts w:eastAsiaTheme="majorEastAsia" w:cstheme="majorBidi"/>
      <w:b/>
      <w:sz w:val="28"/>
      <w:szCs w:val="26"/>
    </w:rPr>
  </w:style>
  <w:style w:type="paragraph" w:customStyle="1" w:styleId="Divider">
    <w:name w:val="Divider"/>
    <w:uiPriority w:val="99"/>
    <w:semiHidden/>
    <w:rsid w:val="00E13B7E"/>
    <w:pPr>
      <w:spacing w:before="4000" w:after="7000"/>
    </w:pPr>
    <w:rPr>
      <w:rFonts w:eastAsiaTheme="majorEastAsia" w:cs="Jacobs Chronos Light"/>
      <w:b/>
      <w:color w:val="231EDC" w:themeColor="accent1"/>
      <w:sz w:val="52"/>
      <w:szCs w:val="56"/>
    </w:rPr>
  </w:style>
  <w:style w:type="paragraph" w:customStyle="1" w:styleId="Headingunnumbered1">
    <w:name w:val="Heading (unnumbered) 1"/>
    <w:basedOn w:val="Normal"/>
    <w:next w:val="BodyText"/>
    <w:uiPriority w:val="1"/>
    <w:rsid w:val="00095532"/>
    <w:pPr>
      <w:keepNext/>
      <w:spacing w:before="240" w:after="120"/>
      <w:outlineLvl w:val="0"/>
    </w:pPr>
    <w:rPr>
      <w:b/>
      <w:color w:val="231EDC" w:themeColor="accent1"/>
      <w:sz w:val="32"/>
    </w:rPr>
  </w:style>
  <w:style w:type="paragraph" w:customStyle="1" w:styleId="Headingunnumbered2">
    <w:name w:val="Heading (unnumbered) 2"/>
    <w:basedOn w:val="Normal"/>
    <w:next w:val="BodyText"/>
    <w:uiPriority w:val="1"/>
    <w:rsid w:val="00095532"/>
    <w:pPr>
      <w:keepNext/>
      <w:spacing w:before="240" w:after="120"/>
      <w:outlineLvl w:val="1"/>
    </w:pPr>
    <w:rPr>
      <w:b/>
      <w:sz w:val="28"/>
    </w:rPr>
  </w:style>
  <w:style w:type="paragraph" w:customStyle="1" w:styleId="Headingunnumbered3">
    <w:name w:val="Heading (unnumbered) 3"/>
    <w:basedOn w:val="Normal"/>
    <w:next w:val="BodyText"/>
    <w:uiPriority w:val="1"/>
    <w:rsid w:val="00095532"/>
    <w:pPr>
      <w:keepNext/>
      <w:spacing w:before="240" w:after="120"/>
      <w:outlineLvl w:val="2"/>
    </w:pPr>
    <w:rPr>
      <w:b/>
      <w:sz w:val="24"/>
    </w:rPr>
  </w:style>
  <w:style w:type="paragraph" w:customStyle="1" w:styleId="TableText2Letter">
    <w:name w:val="Table Text 2 Letter"/>
    <w:basedOn w:val="TableText1Number"/>
    <w:uiPriority w:val="99"/>
    <w:semiHidden/>
    <w:rsid w:val="00025ACF"/>
    <w:pPr>
      <w:numPr>
        <w:ilvl w:val="1"/>
      </w:numPr>
    </w:pPr>
  </w:style>
  <w:style w:type="paragraph" w:styleId="BalloonText">
    <w:name w:val="Balloon Text"/>
    <w:basedOn w:val="Normal"/>
    <w:link w:val="BalloonTextChar"/>
    <w:uiPriority w:val="99"/>
    <w:semiHidden/>
    <w:unhideWhenUsed/>
    <w:locked/>
    <w:rsid w:val="000955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532"/>
    <w:rPr>
      <w:rFonts w:ascii="Segoe UI" w:hAnsi="Segoe UI" w:cs="Segoe UI"/>
      <w:sz w:val="18"/>
      <w:szCs w:val="18"/>
    </w:rPr>
  </w:style>
  <w:style w:type="paragraph" w:customStyle="1" w:styleId="SingleSequential">
    <w:name w:val="Single Sequential"/>
    <w:basedOn w:val="Normal"/>
    <w:uiPriority w:val="2"/>
    <w:qFormat/>
    <w:rsid w:val="00095532"/>
    <w:pPr>
      <w:numPr>
        <w:numId w:val="29"/>
      </w:numPr>
      <w:spacing w:before="180" w:after="60"/>
    </w:pPr>
    <w:rPr>
      <w:rFonts w:asciiTheme="minorHAnsi" w:hAnsiTheme="minorHAnsi"/>
    </w:rPr>
  </w:style>
  <w:style w:type="numbering" w:customStyle="1" w:styleId="JacobsSingleSequentialList">
    <w:name w:val="Jacobs Single Sequential List"/>
    <w:uiPriority w:val="99"/>
    <w:semiHidden/>
    <w:rsid w:val="00B46D23"/>
    <w:pPr>
      <w:numPr>
        <w:numId w:val="1"/>
      </w:numPr>
    </w:pPr>
  </w:style>
  <w:style w:type="numbering" w:customStyle="1" w:styleId="JacobsParagraphLevels">
    <w:name w:val="Jacobs Paragraph Levels"/>
    <w:uiPriority w:val="99"/>
    <w:semiHidden/>
    <w:rsid w:val="00382C71"/>
    <w:pPr>
      <w:numPr>
        <w:numId w:val="2"/>
      </w:numPr>
    </w:pPr>
  </w:style>
  <w:style w:type="character" w:styleId="CommentReference">
    <w:name w:val="annotation reference"/>
    <w:basedOn w:val="DefaultParagraphFont"/>
    <w:uiPriority w:val="99"/>
    <w:semiHidden/>
    <w:unhideWhenUsed/>
    <w:locked/>
    <w:rsid w:val="00095532"/>
    <w:rPr>
      <w:sz w:val="16"/>
      <w:szCs w:val="16"/>
    </w:rPr>
  </w:style>
  <w:style w:type="paragraph" w:styleId="CommentText">
    <w:name w:val="annotation text"/>
    <w:basedOn w:val="Normal"/>
    <w:link w:val="CommentTextChar"/>
    <w:uiPriority w:val="99"/>
    <w:semiHidden/>
    <w:unhideWhenUsed/>
    <w:locked/>
    <w:rsid w:val="00095532"/>
  </w:style>
  <w:style w:type="character" w:customStyle="1" w:styleId="CommentTextChar">
    <w:name w:val="Comment Text Char"/>
    <w:basedOn w:val="DefaultParagraphFont"/>
    <w:link w:val="CommentText"/>
    <w:uiPriority w:val="99"/>
    <w:semiHidden/>
    <w:rsid w:val="00095532"/>
  </w:style>
  <w:style w:type="paragraph" w:styleId="CommentSubject">
    <w:name w:val="annotation subject"/>
    <w:basedOn w:val="CommentText"/>
    <w:next w:val="CommentText"/>
    <w:link w:val="CommentSubjectChar"/>
    <w:uiPriority w:val="99"/>
    <w:semiHidden/>
    <w:unhideWhenUsed/>
    <w:locked/>
    <w:rsid w:val="00095532"/>
    <w:rPr>
      <w:b/>
      <w:bCs/>
    </w:rPr>
  </w:style>
  <w:style w:type="character" w:customStyle="1" w:styleId="CommentSubjectChar">
    <w:name w:val="Comment Subject Char"/>
    <w:basedOn w:val="CommentTextChar"/>
    <w:link w:val="CommentSubject"/>
    <w:uiPriority w:val="99"/>
    <w:semiHidden/>
    <w:rsid w:val="00095532"/>
    <w:rPr>
      <w:b/>
      <w:bCs/>
    </w:rPr>
  </w:style>
  <w:style w:type="table" w:styleId="PlainTable1">
    <w:name w:val="Plain Table 1"/>
    <w:basedOn w:val="TableNormal"/>
    <w:uiPriority w:val="41"/>
    <w:locked/>
    <w:rsid w:val="0009553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095532"/>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tyle1">
    <w:name w:val="Style1"/>
    <w:basedOn w:val="TableNormal"/>
    <w:uiPriority w:val="99"/>
    <w:semiHidden/>
    <w:rsid w:val="00FB4765"/>
    <w:pPr>
      <w:spacing w:line="240" w:lineRule="auto"/>
    </w:pPr>
    <w:tblPr/>
  </w:style>
  <w:style w:type="table" w:customStyle="1" w:styleId="Style2">
    <w:name w:val="Style2"/>
    <w:basedOn w:val="TableNormal"/>
    <w:uiPriority w:val="99"/>
    <w:semiHidden/>
    <w:rsid w:val="00FB4765"/>
    <w:pPr>
      <w:spacing w:line="240" w:lineRule="auto"/>
    </w:pPr>
    <w:tblPr/>
  </w:style>
  <w:style w:type="table" w:styleId="GridTable4-Accent6">
    <w:name w:val="Grid Table 4 Accent 6"/>
    <w:basedOn w:val="TableNormal"/>
    <w:uiPriority w:val="49"/>
    <w:locked/>
    <w:rsid w:val="00095532"/>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insideV w:val="nil"/>
        </w:tcBorders>
        <w:shd w:val="clear" w:color="auto" w:fill="C8C8C8" w:themeFill="accent6"/>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paragraph" w:customStyle="1" w:styleId="TableText3Roman">
    <w:name w:val="Table Text 3 Roman"/>
    <w:basedOn w:val="TableText"/>
    <w:uiPriority w:val="99"/>
    <w:semiHidden/>
    <w:rsid w:val="008E484D"/>
    <w:pPr>
      <w:numPr>
        <w:ilvl w:val="2"/>
        <w:numId w:val="14"/>
      </w:numPr>
    </w:pPr>
  </w:style>
  <w:style w:type="paragraph" w:customStyle="1" w:styleId="BodyTextBold">
    <w:name w:val="Body Text Bold"/>
    <w:basedOn w:val="BodyText"/>
    <w:next w:val="BodyText"/>
    <w:uiPriority w:val="99"/>
    <w:semiHidden/>
    <w:rsid w:val="00DF23AB"/>
    <w:rPr>
      <w:b/>
    </w:rPr>
  </w:style>
  <w:style w:type="paragraph" w:customStyle="1" w:styleId="TableTextBold">
    <w:name w:val="Table Text Bold"/>
    <w:basedOn w:val="TableText"/>
    <w:next w:val="TableText"/>
    <w:uiPriority w:val="99"/>
    <w:semiHidden/>
    <w:rsid w:val="00767E98"/>
    <w:rPr>
      <w:b/>
    </w:rPr>
  </w:style>
  <w:style w:type="paragraph" w:customStyle="1" w:styleId="TableHeading2">
    <w:name w:val="Table Heading 2"/>
    <w:basedOn w:val="Normal"/>
    <w:uiPriority w:val="4"/>
    <w:qFormat/>
    <w:rsid w:val="00095532"/>
    <w:pPr>
      <w:spacing w:before="60" w:after="60"/>
    </w:pPr>
    <w:rPr>
      <w:b/>
    </w:rPr>
  </w:style>
  <w:style w:type="character" w:styleId="Hyperlink">
    <w:name w:val="Hyperlink"/>
    <w:basedOn w:val="DefaultParagraphFont"/>
    <w:uiPriority w:val="99"/>
    <w:unhideWhenUsed/>
    <w:locked/>
    <w:rsid w:val="00095532"/>
    <w:rPr>
      <w:color w:val="231EDC" w:themeColor="hyperlink"/>
      <w:u w:val="single"/>
    </w:rPr>
  </w:style>
  <w:style w:type="paragraph" w:customStyle="1" w:styleId="DocumentSubject">
    <w:name w:val="Document Subject"/>
    <w:basedOn w:val="Normal"/>
    <w:uiPriority w:val="99"/>
    <w:semiHidden/>
    <w:rsid w:val="00095532"/>
    <w:pPr>
      <w:spacing w:before="360" w:after="240"/>
    </w:pPr>
    <w:rPr>
      <w:rFonts w:asciiTheme="minorHAnsi" w:hAnsiTheme="minorHAnsi"/>
      <w:b/>
      <w:color w:val="231EDC" w:themeColor="accent1"/>
      <w:sz w:val="24"/>
    </w:rPr>
  </w:style>
  <w:style w:type="character" w:customStyle="1" w:styleId="Heading4Char">
    <w:name w:val="Heading 4 Char"/>
    <w:basedOn w:val="DefaultParagraphFont"/>
    <w:link w:val="Heading4"/>
    <w:rsid w:val="00095532"/>
    <w:rPr>
      <w:rFonts w:eastAsiaTheme="majorEastAsia" w:cstheme="majorBidi"/>
      <w:b/>
      <w:iCs/>
      <w:sz w:val="24"/>
    </w:rPr>
  </w:style>
  <w:style w:type="character" w:customStyle="1" w:styleId="Heading5Char">
    <w:name w:val="Heading 5 Char"/>
    <w:basedOn w:val="DefaultParagraphFont"/>
    <w:link w:val="Heading5"/>
    <w:rsid w:val="00095532"/>
    <w:rPr>
      <w:rFonts w:eastAsiaTheme="majorEastAsia" w:cstheme="majorBidi"/>
      <w:b/>
      <w:sz w:val="22"/>
    </w:rPr>
  </w:style>
  <w:style w:type="character" w:customStyle="1" w:styleId="Heading6Char">
    <w:name w:val="Heading 6 Char"/>
    <w:basedOn w:val="DefaultParagraphFont"/>
    <w:link w:val="Heading6"/>
    <w:rsid w:val="00095532"/>
    <w:rPr>
      <w:rFonts w:eastAsiaTheme="majorEastAsia" w:cstheme="majorBidi"/>
      <w:b/>
    </w:rPr>
  </w:style>
  <w:style w:type="character" w:customStyle="1" w:styleId="Heading7Char">
    <w:name w:val="Heading 7 Char"/>
    <w:basedOn w:val="DefaultParagraphFont"/>
    <w:link w:val="Heading7"/>
    <w:uiPriority w:val="9"/>
    <w:semiHidden/>
    <w:rsid w:val="00095532"/>
    <w:rPr>
      <w:rFonts w:eastAsiaTheme="majorEastAsia" w:cstheme="majorBidi"/>
      <w:i/>
      <w:iCs/>
      <w:color w:val="110F6D" w:themeColor="accent1" w:themeShade="7F"/>
    </w:rPr>
  </w:style>
  <w:style w:type="character" w:customStyle="1" w:styleId="Heading8Char">
    <w:name w:val="Heading 8 Char"/>
    <w:basedOn w:val="DefaultParagraphFont"/>
    <w:link w:val="Heading8"/>
    <w:uiPriority w:val="9"/>
    <w:semiHidden/>
    <w:rsid w:val="00095532"/>
    <w:rPr>
      <w:rFonts w:eastAsiaTheme="majorEastAsia" w:cstheme="majorBidi"/>
      <w:color w:val="272727" w:themeColor="text1" w:themeTint="D8"/>
      <w:sz w:val="21"/>
      <w:szCs w:val="21"/>
    </w:rPr>
  </w:style>
  <w:style w:type="character" w:customStyle="1" w:styleId="Heading9Char">
    <w:name w:val="Heading 9 Char"/>
    <w:aliases w:val="Appendix Char"/>
    <w:basedOn w:val="DefaultParagraphFont"/>
    <w:link w:val="Heading9"/>
    <w:uiPriority w:val="9"/>
    <w:semiHidden/>
    <w:rsid w:val="00095532"/>
    <w:rPr>
      <w:rFonts w:eastAsiaTheme="majorEastAsia" w:cstheme="majorBidi"/>
      <w:b/>
      <w:iCs/>
      <w:color w:val="231EDC" w:themeColor="accent1"/>
      <w:sz w:val="32"/>
      <w:szCs w:val="21"/>
    </w:rPr>
  </w:style>
  <w:style w:type="numbering" w:styleId="ArticleSection">
    <w:name w:val="Outline List 3"/>
    <w:aliases w:val="REMOVE 3"/>
    <w:basedOn w:val="NoList"/>
    <w:uiPriority w:val="99"/>
    <w:semiHidden/>
    <w:unhideWhenUsed/>
    <w:locked/>
    <w:rsid w:val="00E6345A"/>
    <w:pPr>
      <w:numPr>
        <w:numId w:val="3"/>
      </w:numPr>
    </w:pPr>
  </w:style>
  <w:style w:type="paragraph" w:customStyle="1" w:styleId="TableTextItalic">
    <w:name w:val="Table Text Italic"/>
    <w:basedOn w:val="TableText"/>
    <w:uiPriority w:val="99"/>
    <w:semiHidden/>
    <w:rsid w:val="00767E98"/>
    <w:rPr>
      <w:i/>
    </w:rPr>
  </w:style>
  <w:style w:type="paragraph" w:customStyle="1" w:styleId="CaptionSubText">
    <w:name w:val="Caption Sub Text"/>
    <w:basedOn w:val="Caption"/>
    <w:next w:val="BodyText"/>
    <w:uiPriority w:val="99"/>
    <w:semiHidden/>
    <w:rsid w:val="004B2105"/>
    <w:rPr>
      <w:rFonts w:cs="Jacobs Chronos Light"/>
      <w:b w:val="0"/>
      <w:szCs w:val="16"/>
    </w:rPr>
  </w:style>
  <w:style w:type="paragraph" w:customStyle="1" w:styleId="Footnote">
    <w:name w:val="Footnote"/>
    <w:basedOn w:val="BodyText"/>
    <w:next w:val="BodyText"/>
    <w:uiPriority w:val="99"/>
    <w:semiHidden/>
    <w:rsid w:val="00025ACF"/>
    <w:pPr>
      <w:numPr>
        <w:numId w:val="4"/>
      </w:numPr>
      <w:spacing w:before="40" w:after="40"/>
      <w:ind w:left="170" w:hanging="170"/>
    </w:pPr>
    <w:rPr>
      <w:rFonts w:cs="Jacobs Chronos Light"/>
      <w:sz w:val="16"/>
      <w:szCs w:val="16"/>
    </w:rPr>
  </w:style>
  <w:style w:type="paragraph" w:customStyle="1" w:styleId="QuoteText">
    <w:name w:val="Quote Text"/>
    <w:basedOn w:val="Normal"/>
    <w:uiPriority w:val="7"/>
    <w:rsid w:val="00095532"/>
    <w:pPr>
      <w:spacing w:before="60" w:after="40"/>
    </w:pPr>
    <w:rPr>
      <w:rFonts w:asciiTheme="minorHAnsi" w:hAnsiTheme="minorHAnsi"/>
      <w:i/>
      <w:color w:val="231EDC" w:themeColor="accent1"/>
    </w:rPr>
  </w:style>
  <w:style w:type="paragraph" w:customStyle="1" w:styleId="QuoteAuthor">
    <w:name w:val="Quote Author"/>
    <w:basedOn w:val="Normal"/>
    <w:uiPriority w:val="8"/>
    <w:rsid w:val="00095532"/>
    <w:pPr>
      <w:spacing w:before="40" w:after="40"/>
    </w:pPr>
    <w:rPr>
      <w:rFonts w:asciiTheme="minorHAnsi" w:hAnsiTheme="minorHAnsi"/>
      <w:color w:val="333333" w:themeColor="text2"/>
    </w:rPr>
  </w:style>
  <w:style w:type="paragraph" w:customStyle="1" w:styleId="QuoteAuthorTitle">
    <w:name w:val="Quote Author Title"/>
    <w:basedOn w:val="Normal"/>
    <w:next w:val="BodyText"/>
    <w:uiPriority w:val="8"/>
    <w:rsid w:val="00095532"/>
    <w:pPr>
      <w:spacing w:before="40" w:after="60"/>
    </w:pPr>
    <w:rPr>
      <w:rFonts w:asciiTheme="minorHAnsi" w:hAnsiTheme="minorHAnsi"/>
      <w:i/>
      <w:color w:val="333333" w:themeColor="text2"/>
      <w:sz w:val="16"/>
    </w:rPr>
  </w:style>
  <w:style w:type="paragraph" w:customStyle="1" w:styleId="FigureCaption">
    <w:name w:val="Figure Caption"/>
    <w:basedOn w:val="Caption"/>
    <w:next w:val="BodyText"/>
    <w:uiPriority w:val="99"/>
    <w:semiHidden/>
    <w:rsid w:val="00095532"/>
  </w:style>
  <w:style w:type="paragraph" w:customStyle="1" w:styleId="TableNumberandTitle">
    <w:name w:val="Table Number and Title"/>
    <w:next w:val="TableCaption"/>
    <w:uiPriority w:val="99"/>
    <w:semiHidden/>
    <w:rsid w:val="00552B1D"/>
    <w:pPr>
      <w:keepNext/>
      <w:numPr>
        <w:numId w:val="15"/>
      </w:numPr>
      <w:spacing w:before="120" w:after="40"/>
    </w:pPr>
    <w:rPr>
      <w:b/>
      <w:color w:val="333333"/>
    </w:rPr>
  </w:style>
  <w:style w:type="paragraph" w:customStyle="1" w:styleId="TableCaption">
    <w:name w:val="Table Caption"/>
    <w:basedOn w:val="Caption"/>
    <w:next w:val="BodyText"/>
    <w:uiPriority w:val="99"/>
    <w:semiHidden/>
    <w:rsid w:val="00095532"/>
  </w:style>
  <w:style w:type="numbering" w:customStyle="1" w:styleId="JacobsNumberedHeadings">
    <w:name w:val="Jacobs Numbered Headings"/>
    <w:uiPriority w:val="99"/>
    <w:semiHidden/>
    <w:rsid w:val="004B2105"/>
    <w:pPr>
      <w:numPr>
        <w:numId w:val="10"/>
      </w:numPr>
    </w:pPr>
  </w:style>
  <w:style w:type="numbering" w:customStyle="1" w:styleId="JacobsAppendixHeadings">
    <w:name w:val="Jacobs Appendix Headings"/>
    <w:uiPriority w:val="99"/>
    <w:semiHidden/>
    <w:rsid w:val="00D303A2"/>
    <w:pPr>
      <w:numPr>
        <w:numId w:val="9"/>
      </w:numPr>
    </w:pPr>
  </w:style>
  <w:style w:type="numbering" w:customStyle="1" w:styleId="JacobsSequential111Format">
    <w:name w:val="Jacobs Sequential 1.1.1 Format"/>
    <w:uiPriority w:val="99"/>
    <w:semiHidden/>
    <w:rsid w:val="002D7A04"/>
    <w:pPr>
      <w:numPr>
        <w:numId w:val="7"/>
      </w:numPr>
    </w:pPr>
  </w:style>
  <w:style w:type="paragraph" w:customStyle="1" w:styleId="InstructionalText">
    <w:name w:val="Instructional Text"/>
    <w:uiPriority w:val="99"/>
    <w:semiHidden/>
    <w:rsid w:val="004B2105"/>
    <w:pPr>
      <w:spacing w:before="120" w:after="120"/>
    </w:pPr>
    <w:rPr>
      <w:i/>
      <w:sz w:val="18"/>
    </w:rPr>
  </w:style>
  <w:style w:type="numbering" w:customStyle="1" w:styleId="REMOVE">
    <w:name w:val="REMOVE"/>
    <w:uiPriority w:val="99"/>
    <w:semiHidden/>
    <w:rsid w:val="00D743AC"/>
    <w:pPr>
      <w:numPr>
        <w:numId w:val="5"/>
      </w:numPr>
    </w:pPr>
  </w:style>
  <w:style w:type="paragraph" w:customStyle="1" w:styleId="BodyText4Number">
    <w:name w:val="Body Text 4 Number"/>
    <w:basedOn w:val="Normal"/>
    <w:uiPriority w:val="2"/>
    <w:rsid w:val="00095532"/>
    <w:pPr>
      <w:numPr>
        <w:ilvl w:val="3"/>
        <w:numId w:val="22"/>
      </w:numPr>
      <w:spacing w:after="120"/>
      <w:contextualSpacing/>
    </w:pPr>
  </w:style>
  <w:style w:type="paragraph" w:styleId="TOC1">
    <w:name w:val="toc 1"/>
    <w:basedOn w:val="Normal"/>
    <w:next w:val="Normal"/>
    <w:autoRedefine/>
    <w:uiPriority w:val="39"/>
    <w:locked/>
    <w:rsid w:val="00095532"/>
    <w:pPr>
      <w:spacing w:after="100"/>
      <w:ind w:left="567" w:hanging="567"/>
    </w:pPr>
    <w:rPr>
      <w:b/>
    </w:rPr>
  </w:style>
  <w:style w:type="paragraph" w:styleId="TOC2">
    <w:name w:val="toc 2"/>
    <w:basedOn w:val="Normal"/>
    <w:next w:val="Normal"/>
    <w:autoRedefine/>
    <w:uiPriority w:val="39"/>
    <w:locked/>
    <w:rsid w:val="00095532"/>
    <w:pPr>
      <w:spacing w:after="100"/>
      <w:ind w:left="1134" w:hanging="567"/>
    </w:pPr>
  </w:style>
  <w:style w:type="paragraph" w:styleId="TOC3">
    <w:name w:val="toc 3"/>
    <w:basedOn w:val="Normal"/>
    <w:next w:val="Normal"/>
    <w:autoRedefine/>
    <w:uiPriority w:val="39"/>
    <w:locked/>
    <w:rsid w:val="00095532"/>
    <w:pPr>
      <w:spacing w:after="100"/>
      <w:ind w:left="1701" w:hanging="567"/>
    </w:pPr>
  </w:style>
  <w:style w:type="paragraph" w:styleId="TOCHeading">
    <w:name w:val="TOC Heading"/>
    <w:basedOn w:val="Normal"/>
    <w:next w:val="Normal"/>
    <w:uiPriority w:val="39"/>
    <w:qFormat/>
    <w:locked/>
    <w:rsid w:val="00095532"/>
    <w:pPr>
      <w:spacing w:before="120" w:after="120"/>
      <w:outlineLvl w:val="0"/>
    </w:pPr>
    <w:rPr>
      <w:b/>
      <w:color w:val="231EDC" w:themeColor="accent1"/>
      <w:sz w:val="28"/>
    </w:rPr>
  </w:style>
  <w:style w:type="paragraph" w:customStyle="1" w:styleId="TableBullet2ndLevel">
    <w:name w:val="Table Bullet 2nd Level"/>
    <w:basedOn w:val="TableBullet"/>
    <w:uiPriority w:val="99"/>
    <w:semiHidden/>
    <w:rsid w:val="00025ACF"/>
    <w:pPr>
      <w:numPr>
        <w:numId w:val="6"/>
      </w:numPr>
      <w:ind w:left="340" w:hanging="170"/>
    </w:pPr>
  </w:style>
  <w:style w:type="numbering" w:customStyle="1" w:styleId="JacobsTableNumbersList">
    <w:name w:val="Jacobs Table Numbers List"/>
    <w:uiPriority w:val="99"/>
    <w:semiHidden/>
    <w:rsid w:val="008E484D"/>
    <w:pPr>
      <w:numPr>
        <w:numId w:val="8"/>
      </w:numPr>
    </w:pPr>
  </w:style>
  <w:style w:type="paragraph" w:styleId="FootnoteText">
    <w:name w:val="footnote text"/>
    <w:aliases w:val="~FootnoteText"/>
    <w:basedOn w:val="Normal"/>
    <w:link w:val="FootnoteTextChar"/>
    <w:uiPriority w:val="99"/>
    <w:locked/>
    <w:rsid w:val="00095532"/>
    <w:pPr>
      <w:spacing w:before="60" w:after="60"/>
      <w:ind w:left="176" w:hanging="176"/>
    </w:pPr>
    <w:rPr>
      <w:sz w:val="16"/>
    </w:rPr>
  </w:style>
  <w:style w:type="character" w:customStyle="1" w:styleId="FootnoteTextChar">
    <w:name w:val="Footnote Text Char"/>
    <w:aliases w:val="~FootnoteText Char"/>
    <w:basedOn w:val="DefaultParagraphFont"/>
    <w:link w:val="FootnoteText"/>
    <w:uiPriority w:val="99"/>
    <w:rsid w:val="00095532"/>
    <w:rPr>
      <w:sz w:val="16"/>
    </w:rPr>
  </w:style>
  <w:style w:type="paragraph" w:customStyle="1" w:styleId="HeaderSpacer">
    <w:name w:val="Header Spacer"/>
    <w:basedOn w:val="Header"/>
    <w:uiPriority w:val="99"/>
    <w:semiHidden/>
    <w:rsid w:val="00095532"/>
    <w:rPr>
      <w:sz w:val="16"/>
    </w:rPr>
  </w:style>
  <w:style w:type="paragraph" w:customStyle="1" w:styleId="AcronymText">
    <w:name w:val="Acronym Text"/>
    <w:basedOn w:val="BodyText"/>
    <w:uiPriority w:val="99"/>
    <w:semiHidden/>
    <w:rsid w:val="00F32340"/>
    <w:rPr>
      <w:rFonts w:eastAsia="Times New Roman" w:cs="Times New Roman"/>
    </w:rPr>
  </w:style>
  <w:style w:type="paragraph" w:styleId="BodyText">
    <w:name w:val="Body Text"/>
    <w:basedOn w:val="Normal"/>
    <w:link w:val="BodyTextChar"/>
    <w:qFormat/>
    <w:rsid w:val="000328FC"/>
    <w:pPr>
      <w:spacing w:before="300" w:after="180" w:line="240" w:lineRule="auto"/>
    </w:pPr>
    <w:rPr>
      <w:rFonts w:ascii="Jacobs Chronos" w:hAnsi="Jacobs Chronos"/>
    </w:rPr>
  </w:style>
  <w:style w:type="character" w:customStyle="1" w:styleId="BodyTextChar">
    <w:name w:val="Body Text Char"/>
    <w:basedOn w:val="DefaultParagraphFont"/>
    <w:link w:val="BodyText"/>
    <w:rsid w:val="000328FC"/>
    <w:rPr>
      <w:rFonts w:ascii="Jacobs Chronos" w:hAnsi="Jacobs Chronos"/>
    </w:rPr>
  </w:style>
  <w:style w:type="paragraph" w:customStyle="1" w:styleId="TableNotes">
    <w:name w:val="Table Notes"/>
    <w:basedOn w:val="Normal"/>
    <w:uiPriority w:val="6"/>
    <w:qFormat/>
    <w:rsid w:val="00095532"/>
    <w:pPr>
      <w:spacing w:before="80" w:after="80"/>
    </w:pPr>
    <w:rPr>
      <w:sz w:val="16"/>
    </w:rPr>
  </w:style>
  <w:style w:type="paragraph" w:styleId="Caption">
    <w:name w:val="caption"/>
    <w:basedOn w:val="Normal"/>
    <w:next w:val="BodyText"/>
    <w:uiPriority w:val="99"/>
    <w:semiHidden/>
    <w:qFormat/>
    <w:locked/>
    <w:rsid w:val="00095532"/>
    <w:pPr>
      <w:keepNext/>
      <w:spacing w:before="120" w:after="40"/>
    </w:pPr>
    <w:rPr>
      <w:b/>
      <w:iCs/>
      <w:color w:val="333333" w:themeColor="text2"/>
      <w:szCs w:val="18"/>
    </w:rPr>
  </w:style>
  <w:style w:type="paragraph" w:customStyle="1" w:styleId="TableNotesIndented">
    <w:name w:val="Table Notes Indented"/>
    <w:basedOn w:val="Normal"/>
    <w:uiPriority w:val="6"/>
    <w:qFormat/>
    <w:rsid w:val="00095532"/>
    <w:pPr>
      <w:spacing w:before="80" w:after="80"/>
      <w:ind w:left="113"/>
    </w:pPr>
    <w:rPr>
      <w:sz w:val="16"/>
    </w:rPr>
  </w:style>
  <w:style w:type="character" w:styleId="PlaceholderText">
    <w:name w:val="Placeholder Text"/>
    <w:basedOn w:val="DefaultParagraphFont"/>
    <w:uiPriority w:val="99"/>
    <w:semiHidden/>
    <w:locked/>
    <w:rsid w:val="00095532"/>
    <w:rPr>
      <w:i/>
      <w:color w:val="auto"/>
      <w:bdr w:val="none" w:sz="0" w:space="0" w:color="auto"/>
      <w:shd w:val="clear" w:color="auto" w:fill="auto"/>
    </w:rPr>
  </w:style>
  <w:style w:type="paragraph" w:customStyle="1" w:styleId="TableBullet3rdLevel">
    <w:name w:val="Table Bullet 3rd Level"/>
    <w:basedOn w:val="TableBullet2ndLevel"/>
    <w:uiPriority w:val="99"/>
    <w:semiHidden/>
    <w:rsid w:val="00025ACF"/>
    <w:pPr>
      <w:numPr>
        <w:numId w:val="11"/>
      </w:numPr>
      <w:ind w:left="510" w:hanging="170"/>
    </w:pPr>
  </w:style>
  <w:style w:type="character" w:styleId="FootnoteReference">
    <w:name w:val="footnote reference"/>
    <w:basedOn w:val="DefaultParagraphFont"/>
    <w:uiPriority w:val="99"/>
    <w:unhideWhenUsed/>
    <w:locked/>
    <w:rsid w:val="00095532"/>
    <w:rPr>
      <w:vertAlign w:val="superscript"/>
    </w:rPr>
  </w:style>
  <w:style w:type="numbering" w:customStyle="1" w:styleId="JacobsTableNumberTitle">
    <w:name w:val="Jacobs Table Number &amp; Title"/>
    <w:uiPriority w:val="99"/>
    <w:semiHidden/>
    <w:rsid w:val="00552B1D"/>
    <w:pPr>
      <w:numPr>
        <w:numId w:val="12"/>
      </w:numPr>
    </w:pPr>
  </w:style>
  <w:style w:type="paragraph" w:styleId="BodyText3">
    <w:name w:val="Body Text 3"/>
    <w:basedOn w:val="Normal"/>
    <w:link w:val="BodyText3Char"/>
    <w:uiPriority w:val="99"/>
    <w:semiHidden/>
    <w:unhideWhenUsed/>
    <w:locked/>
    <w:rsid w:val="00095532"/>
    <w:pPr>
      <w:spacing w:after="120"/>
    </w:pPr>
    <w:rPr>
      <w:sz w:val="16"/>
      <w:szCs w:val="16"/>
    </w:rPr>
  </w:style>
  <w:style w:type="character" w:customStyle="1" w:styleId="BodyText3Char">
    <w:name w:val="Body Text 3 Char"/>
    <w:basedOn w:val="DefaultParagraphFont"/>
    <w:link w:val="BodyText3"/>
    <w:uiPriority w:val="99"/>
    <w:semiHidden/>
    <w:rsid w:val="00095532"/>
    <w:rPr>
      <w:sz w:val="16"/>
      <w:szCs w:val="16"/>
    </w:rPr>
  </w:style>
  <w:style w:type="numbering" w:customStyle="1" w:styleId="FigureNumberTitle">
    <w:name w:val="Figure Number &amp; Title"/>
    <w:uiPriority w:val="99"/>
    <w:semiHidden/>
    <w:rsid w:val="00552B1D"/>
    <w:pPr>
      <w:numPr>
        <w:numId w:val="13"/>
      </w:numPr>
    </w:pPr>
  </w:style>
  <w:style w:type="paragraph" w:customStyle="1" w:styleId="TableHeadingWhite">
    <w:name w:val="Table Heading White"/>
    <w:basedOn w:val="Normal"/>
    <w:uiPriority w:val="3"/>
    <w:qFormat/>
    <w:rsid w:val="00095532"/>
    <w:pPr>
      <w:keepNext/>
      <w:spacing w:before="60" w:after="60"/>
    </w:pPr>
    <w:rPr>
      <w:rFonts w:asciiTheme="minorHAnsi" w:hAnsiTheme="minorHAnsi"/>
      <w:b/>
      <w:color w:val="FFFFFF" w:themeColor="background1"/>
      <w:sz w:val="22"/>
    </w:rPr>
  </w:style>
  <w:style w:type="paragraph" w:styleId="ListParagraph">
    <w:name w:val="List Paragraph"/>
    <w:basedOn w:val="Normal"/>
    <w:qFormat/>
    <w:locked/>
    <w:rsid w:val="00095532"/>
    <w:pPr>
      <w:ind w:left="720"/>
      <w:contextualSpacing/>
    </w:pPr>
  </w:style>
  <w:style w:type="paragraph" w:customStyle="1" w:styleId="BlankPage">
    <w:name w:val="Blank Page"/>
    <w:basedOn w:val="Normal"/>
    <w:uiPriority w:val="99"/>
    <w:semiHidden/>
    <w:rsid w:val="00095532"/>
    <w:rPr>
      <w:rFonts w:eastAsiaTheme="majorEastAsia" w:cs="Jacobs Chronos Light"/>
      <w:b/>
      <w:color w:val="231EDC" w:themeColor="accent1"/>
      <w:sz w:val="28"/>
      <w:szCs w:val="56"/>
    </w:rPr>
  </w:style>
  <w:style w:type="table" w:customStyle="1" w:styleId="TableGrid1">
    <w:name w:val="Table Grid1"/>
    <w:basedOn w:val="TableNormal"/>
    <w:next w:val="TableGrid"/>
    <w:uiPriority w:val="99"/>
    <w:semiHidden/>
    <w:locked/>
    <w:rsid w:val="00F2580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semiHidden/>
    <w:qFormat/>
    <w:locked/>
    <w:rsid w:val="00095532"/>
    <w:pPr>
      <w:spacing w:line="240" w:lineRule="auto"/>
    </w:pPr>
  </w:style>
  <w:style w:type="numbering" w:customStyle="1" w:styleId="Headings">
    <w:name w:val="Headings"/>
    <w:uiPriority w:val="99"/>
    <w:semiHidden/>
    <w:rsid w:val="00095532"/>
    <w:pPr>
      <w:numPr>
        <w:numId w:val="19"/>
      </w:numPr>
    </w:pPr>
  </w:style>
  <w:style w:type="paragraph" w:customStyle="1" w:styleId="TableNumber">
    <w:name w:val="Table Number"/>
    <w:basedOn w:val="Normal"/>
    <w:uiPriority w:val="5"/>
    <w:rsid w:val="00095532"/>
    <w:pPr>
      <w:numPr>
        <w:numId w:val="30"/>
      </w:numPr>
      <w:spacing w:before="40" w:after="40"/>
    </w:pPr>
    <w:rPr>
      <w:rFonts w:asciiTheme="minorHAnsi" w:hAnsiTheme="minorHAnsi"/>
      <w:sz w:val="18"/>
    </w:rPr>
  </w:style>
  <w:style w:type="paragraph" w:styleId="Title">
    <w:name w:val="Title"/>
    <w:basedOn w:val="Normal"/>
    <w:next w:val="Normal"/>
    <w:link w:val="TitleChar"/>
    <w:uiPriority w:val="99"/>
    <w:semiHidden/>
    <w:qFormat/>
    <w:locked/>
    <w:rsid w:val="0009553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semiHidden/>
    <w:rsid w:val="00095532"/>
    <w:rPr>
      <w:rFonts w:eastAsiaTheme="majorEastAsia" w:cstheme="majorBidi"/>
      <w:spacing w:val="-10"/>
      <w:kern w:val="28"/>
      <w:sz w:val="56"/>
      <w:szCs w:val="56"/>
    </w:rPr>
  </w:style>
  <w:style w:type="paragraph" w:styleId="Bibliography">
    <w:name w:val="Bibliography"/>
    <w:basedOn w:val="Normal"/>
    <w:next w:val="Normal"/>
    <w:uiPriority w:val="99"/>
    <w:semiHidden/>
    <w:unhideWhenUsed/>
    <w:locked/>
    <w:rsid w:val="00095532"/>
  </w:style>
  <w:style w:type="paragraph" w:styleId="BlockText">
    <w:name w:val="Block Text"/>
    <w:basedOn w:val="Normal"/>
    <w:uiPriority w:val="99"/>
    <w:semiHidden/>
    <w:unhideWhenUsed/>
    <w:locked/>
    <w:rsid w:val="00095532"/>
    <w:pPr>
      <w:pBdr>
        <w:top w:val="single" w:sz="2" w:space="10" w:color="231EDC" w:themeColor="accent1" w:frame="1"/>
        <w:left w:val="single" w:sz="2" w:space="10" w:color="231EDC" w:themeColor="accent1" w:frame="1"/>
        <w:bottom w:val="single" w:sz="2" w:space="10" w:color="231EDC" w:themeColor="accent1" w:frame="1"/>
        <w:right w:val="single" w:sz="2" w:space="10" w:color="231EDC" w:themeColor="accent1" w:frame="1"/>
      </w:pBdr>
      <w:ind w:left="1152" w:right="1152"/>
    </w:pPr>
    <w:rPr>
      <w:i/>
      <w:iCs/>
      <w:color w:val="231EDC" w:themeColor="accent1"/>
    </w:rPr>
  </w:style>
  <w:style w:type="paragraph" w:styleId="BodyText2">
    <w:name w:val="Body Text 2"/>
    <w:basedOn w:val="Normal"/>
    <w:link w:val="BodyText2Char"/>
    <w:uiPriority w:val="99"/>
    <w:semiHidden/>
    <w:unhideWhenUsed/>
    <w:locked/>
    <w:rsid w:val="00095532"/>
    <w:pPr>
      <w:spacing w:after="120" w:line="480" w:lineRule="auto"/>
    </w:pPr>
  </w:style>
  <w:style w:type="character" w:customStyle="1" w:styleId="BodyText2Char">
    <w:name w:val="Body Text 2 Char"/>
    <w:basedOn w:val="DefaultParagraphFont"/>
    <w:link w:val="BodyText2"/>
    <w:uiPriority w:val="99"/>
    <w:semiHidden/>
    <w:rsid w:val="00095532"/>
  </w:style>
  <w:style w:type="paragraph" w:styleId="BodyTextFirstIndent">
    <w:name w:val="Body Text First Indent"/>
    <w:basedOn w:val="BodyText"/>
    <w:link w:val="BodyTextFirstIndentChar"/>
    <w:uiPriority w:val="99"/>
    <w:semiHidden/>
    <w:unhideWhenUsed/>
    <w:locked/>
    <w:rsid w:val="00095532"/>
    <w:pPr>
      <w:spacing w:after="0"/>
      <w:ind w:firstLine="360"/>
    </w:pPr>
  </w:style>
  <w:style w:type="character" w:customStyle="1" w:styleId="BodyTextFirstIndentChar">
    <w:name w:val="Body Text First Indent Char"/>
    <w:basedOn w:val="BodyTextChar"/>
    <w:link w:val="BodyTextFirstIndent"/>
    <w:uiPriority w:val="99"/>
    <w:semiHidden/>
    <w:rsid w:val="00095532"/>
    <w:rPr>
      <w:rFonts w:ascii="Jacobs Chronos" w:hAnsi="Jacobs Chronos"/>
    </w:rPr>
  </w:style>
  <w:style w:type="paragraph" w:styleId="BodyTextIndent">
    <w:name w:val="Body Text Indent"/>
    <w:basedOn w:val="Normal"/>
    <w:link w:val="BodyTextIndentChar"/>
    <w:uiPriority w:val="99"/>
    <w:semiHidden/>
    <w:unhideWhenUsed/>
    <w:locked/>
    <w:rsid w:val="000449AA"/>
    <w:pPr>
      <w:spacing w:after="120"/>
      <w:ind w:left="283"/>
    </w:pPr>
  </w:style>
  <w:style w:type="character" w:customStyle="1" w:styleId="BodyTextIndentChar">
    <w:name w:val="Body Text Indent Char"/>
    <w:basedOn w:val="DefaultParagraphFont"/>
    <w:link w:val="BodyTextIndent"/>
    <w:uiPriority w:val="99"/>
    <w:semiHidden/>
    <w:rsid w:val="000449AA"/>
    <w:rPr>
      <w:rFonts w:ascii="Jacobs Chronos" w:eastAsiaTheme="minorEastAsia" w:hAnsi="Jacobs Chronos"/>
      <w:szCs w:val="22"/>
    </w:rPr>
  </w:style>
  <w:style w:type="paragraph" w:styleId="BodyTextFirstIndent2">
    <w:name w:val="Body Text First Indent 2"/>
    <w:basedOn w:val="Normal"/>
    <w:link w:val="BodyTextFirstIndent2Char"/>
    <w:uiPriority w:val="99"/>
    <w:semiHidden/>
    <w:unhideWhenUsed/>
    <w:locked/>
    <w:rsid w:val="00095532"/>
    <w:pPr>
      <w:ind w:left="360" w:firstLine="360"/>
    </w:pPr>
  </w:style>
  <w:style w:type="character" w:customStyle="1" w:styleId="BodyTextFirstIndent2Char">
    <w:name w:val="Body Text First Indent 2 Char"/>
    <w:basedOn w:val="DefaultParagraphFont"/>
    <w:link w:val="BodyTextFirstIndent2"/>
    <w:uiPriority w:val="99"/>
    <w:semiHidden/>
    <w:rsid w:val="00095532"/>
  </w:style>
  <w:style w:type="paragraph" w:styleId="BodyTextIndent2">
    <w:name w:val="Body Text Indent 2"/>
    <w:basedOn w:val="Normal"/>
    <w:link w:val="BodyTextIndent2Char"/>
    <w:uiPriority w:val="99"/>
    <w:semiHidden/>
    <w:unhideWhenUsed/>
    <w:locked/>
    <w:rsid w:val="00095532"/>
    <w:pPr>
      <w:spacing w:after="120" w:line="276" w:lineRule="auto"/>
      <w:ind w:left="1418"/>
    </w:pPr>
  </w:style>
  <w:style w:type="character" w:customStyle="1" w:styleId="BodyTextIndent2Char">
    <w:name w:val="Body Text Indent 2 Char"/>
    <w:basedOn w:val="DefaultParagraphFont"/>
    <w:link w:val="BodyTextIndent2"/>
    <w:uiPriority w:val="99"/>
    <w:semiHidden/>
    <w:rsid w:val="00095532"/>
  </w:style>
  <w:style w:type="paragraph" w:styleId="BodyTextIndent3">
    <w:name w:val="Body Text Indent 3"/>
    <w:basedOn w:val="Normal"/>
    <w:link w:val="BodyTextIndent3Char"/>
    <w:uiPriority w:val="99"/>
    <w:semiHidden/>
    <w:unhideWhenUsed/>
    <w:locked/>
    <w:rsid w:val="0009553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95532"/>
    <w:rPr>
      <w:sz w:val="16"/>
      <w:szCs w:val="16"/>
    </w:rPr>
  </w:style>
  <w:style w:type="character" w:styleId="BookTitle">
    <w:name w:val="Book Title"/>
    <w:basedOn w:val="DefaultParagraphFont"/>
    <w:uiPriority w:val="99"/>
    <w:semiHidden/>
    <w:qFormat/>
    <w:locked/>
    <w:rsid w:val="00095532"/>
    <w:rPr>
      <w:b/>
      <w:bCs/>
      <w:i/>
      <w:iCs/>
      <w:spacing w:val="5"/>
    </w:rPr>
  </w:style>
  <w:style w:type="paragraph" w:styleId="Closing">
    <w:name w:val="Closing"/>
    <w:basedOn w:val="Normal"/>
    <w:link w:val="ClosingChar"/>
    <w:uiPriority w:val="99"/>
    <w:semiHidden/>
    <w:unhideWhenUsed/>
    <w:locked/>
    <w:rsid w:val="00095532"/>
    <w:pPr>
      <w:ind w:left="4252"/>
    </w:pPr>
  </w:style>
  <w:style w:type="character" w:customStyle="1" w:styleId="ClosingChar">
    <w:name w:val="Closing Char"/>
    <w:basedOn w:val="DefaultParagraphFont"/>
    <w:link w:val="Closing"/>
    <w:uiPriority w:val="99"/>
    <w:semiHidden/>
    <w:rsid w:val="00095532"/>
  </w:style>
  <w:style w:type="table" w:styleId="ColorfulGrid">
    <w:name w:val="Colorful Grid"/>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2D1F8" w:themeFill="accent1" w:themeFillTint="33"/>
    </w:tcPr>
    <w:tblStylePr w:type="firstRow">
      <w:rPr>
        <w:b/>
        <w:bCs/>
      </w:rPr>
      <w:tblPr/>
      <w:tcPr>
        <w:shd w:val="clear" w:color="auto" w:fill="A5A3F2" w:themeFill="accent1" w:themeFillTint="66"/>
      </w:tcPr>
    </w:tblStylePr>
    <w:tblStylePr w:type="lastRow">
      <w:rPr>
        <w:b/>
        <w:bCs/>
        <w:color w:val="000000" w:themeColor="text1"/>
      </w:rPr>
      <w:tblPr/>
      <w:tcPr>
        <w:shd w:val="clear" w:color="auto" w:fill="A5A3F2" w:themeFill="accent1" w:themeFillTint="66"/>
      </w:tcPr>
    </w:tblStylePr>
    <w:tblStylePr w:type="firstCol">
      <w:rPr>
        <w:color w:val="FFFFFF" w:themeColor="background1"/>
      </w:rPr>
      <w:tblPr/>
      <w:tcPr>
        <w:shd w:val="clear" w:color="auto" w:fill="1916A4" w:themeFill="accent1" w:themeFillShade="BF"/>
      </w:tcPr>
    </w:tblStylePr>
    <w:tblStylePr w:type="lastCol">
      <w:rPr>
        <w:color w:val="FFFFFF" w:themeColor="background1"/>
      </w:rPr>
      <w:tblPr/>
      <w:tcPr>
        <w:shd w:val="clear" w:color="auto" w:fill="1916A4" w:themeFill="accent1" w:themeFillShade="BF"/>
      </w:tc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ColorfulGrid-Accent2">
    <w:name w:val="Colorful Grid Accent 2"/>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EE4FF" w:themeFill="accent2" w:themeFillTint="33"/>
    </w:tcPr>
    <w:tblStylePr w:type="firstRow">
      <w:rPr>
        <w:b/>
        <w:bCs/>
      </w:rPr>
      <w:tblPr/>
      <w:tcPr>
        <w:shd w:val="clear" w:color="auto" w:fill="9DCAFF" w:themeFill="accent2" w:themeFillTint="66"/>
      </w:tcPr>
    </w:tblStylePr>
    <w:tblStylePr w:type="lastRow">
      <w:rPr>
        <w:b/>
        <w:bCs/>
        <w:color w:val="000000" w:themeColor="text1"/>
      </w:rPr>
      <w:tblPr/>
      <w:tcPr>
        <w:shd w:val="clear" w:color="auto" w:fill="9DCAFF" w:themeFill="accent2" w:themeFillTint="66"/>
      </w:tcPr>
    </w:tblStylePr>
    <w:tblStylePr w:type="firstCol">
      <w:rPr>
        <w:color w:val="FFFFFF" w:themeColor="background1"/>
      </w:rPr>
      <w:tblPr/>
      <w:tcPr>
        <w:shd w:val="clear" w:color="auto" w:fill="005CC6" w:themeFill="accent2" w:themeFillShade="BF"/>
      </w:tcPr>
    </w:tblStylePr>
    <w:tblStylePr w:type="lastCol">
      <w:rPr>
        <w:color w:val="FFFFFF" w:themeColor="background1"/>
      </w:rPr>
      <w:tblPr/>
      <w:tcPr>
        <w:shd w:val="clear" w:color="auto" w:fill="005CC6" w:themeFill="accent2" w:themeFillShade="BF"/>
      </w:tc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ColorfulGrid-Accent3">
    <w:name w:val="Colorful Grid Accent 3"/>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EF9FF" w:themeFill="accent3" w:themeFillTint="33"/>
    </w:tcPr>
    <w:tblStylePr w:type="firstRow">
      <w:rPr>
        <w:b/>
        <w:bCs/>
      </w:rPr>
      <w:tblPr/>
      <w:tcPr>
        <w:shd w:val="clear" w:color="auto" w:fill="BDF4FF" w:themeFill="accent3" w:themeFillTint="66"/>
      </w:tcPr>
    </w:tblStylePr>
    <w:tblStylePr w:type="lastRow">
      <w:rPr>
        <w:b/>
        <w:bCs/>
        <w:color w:val="000000" w:themeColor="text1"/>
      </w:rPr>
      <w:tblPr/>
      <w:tcPr>
        <w:shd w:val="clear" w:color="auto" w:fill="BDF4FF" w:themeFill="accent3" w:themeFillTint="66"/>
      </w:tcPr>
    </w:tblStylePr>
    <w:tblStylePr w:type="firstCol">
      <w:rPr>
        <w:color w:val="FFFFFF" w:themeColor="background1"/>
      </w:rPr>
      <w:tblPr/>
      <w:tcPr>
        <w:shd w:val="clear" w:color="auto" w:fill="03D8FF" w:themeFill="accent3" w:themeFillShade="BF"/>
      </w:tcPr>
    </w:tblStylePr>
    <w:tblStylePr w:type="lastCol">
      <w:rPr>
        <w:color w:val="FFFFFF" w:themeColor="background1"/>
      </w:rPr>
      <w:tblPr/>
      <w:tcPr>
        <w:shd w:val="clear" w:color="auto" w:fill="03D8FF" w:themeFill="accent3" w:themeFillShade="BF"/>
      </w:tc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ColorfulGrid-Accent4">
    <w:name w:val="Colorful Grid Accent 4"/>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AC8FF" w:themeFill="accent4" w:themeFillTint="33"/>
    </w:tcPr>
    <w:tblStylePr w:type="firstRow">
      <w:rPr>
        <w:b/>
        <w:bCs/>
      </w:rPr>
      <w:tblPr/>
      <w:tcPr>
        <w:shd w:val="clear" w:color="auto" w:fill="5591FF" w:themeFill="accent4" w:themeFillTint="66"/>
      </w:tcPr>
    </w:tblStylePr>
    <w:tblStylePr w:type="lastRow">
      <w:rPr>
        <w:b/>
        <w:bCs/>
        <w:color w:val="000000" w:themeColor="text1"/>
      </w:rPr>
      <w:tblPr/>
      <w:tcPr>
        <w:shd w:val="clear" w:color="auto" w:fill="5591FF" w:themeFill="accent4" w:themeFillTint="66"/>
      </w:tcPr>
    </w:tblStylePr>
    <w:tblStylePr w:type="firstCol">
      <w:rPr>
        <w:color w:val="FFFFFF" w:themeColor="background1"/>
      </w:rPr>
      <w:tblPr/>
      <w:tcPr>
        <w:shd w:val="clear" w:color="auto" w:fill="00163F" w:themeFill="accent4" w:themeFillShade="BF"/>
      </w:tcPr>
    </w:tblStylePr>
    <w:tblStylePr w:type="lastCol">
      <w:rPr>
        <w:color w:val="FFFFFF" w:themeColor="background1"/>
      </w:rPr>
      <w:tblPr/>
      <w:tcPr>
        <w:shd w:val="clear" w:color="auto" w:fill="00163F" w:themeFill="accent4" w:themeFillShade="BF"/>
      </w:tc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ColorfulGrid-Accent5">
    <w:name w:val="Colorful Grid Accent 5"/>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5" w:themeFillTint="33"/>
    </w:tcPr>
    <w:tblStylePr w:type="firstRow">
      <w:rPr>
        <w:b/>
        <w:bCs/>
      </w:rPr>
      <w:tblPr/>
      <w:tcPr>
        <w:shd w:val="clear" w:color="auto" w:fill="DBDBDB" w:themeFill="accent5" w:themeFillTint="66"/>
      </w:tcPr>
    </w:tblStylePr>
    <w:tblStylePr w:type="lastRow">
      <w:rPr>
        <w:b/>
        <w:bCs/>
        <w:color w:val="000000" w:themeColor="text1"/>
      </w:rPr>
      <w:tblPr/>
      <w:tcPr>
        <w:shd w:val="clear" w:color="auto" w:fill="DBDBDB" w:themeFill="accent5" w:themeFillTint="66"/>
      </w:tcPr>
    </w:tblStylePr>
    <w:tblStylePr w:type="firstCol">
      <w:rPr>
        <w:color w:val="FFFFFF" w:themeColor="background1"/>
      </w:rPr>
      <w:tblPr/>
      <w:tcPr>
        <w:shd w:val="clear" w:color="auto" w:fill="7B7B7B" w:themeFill="accent5" w:themeFillShade="BF"/>
      </w:tcPr>
    </w:tblStylePr>
    <w:tblStylePr w:type="lastCol">
      <w:rPr>
        <w:color w:val="FFFFFF" w:themeColor="background1"/>
      </w:rPr>
      <w:tblPr/>
      <w:tcPr>
        <w:shd w:val="clear" w:color="auto" w:fill="7B7B7B" w:themeFill="accent5" w:themeFillShade="BF"/>
      </w:tc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ColorfulGrid-Accent6">
    <w:name w:val="Colorful Grid Accent 6"/>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4F4F4" w:themeFill="accent6" w:themeFillTint="33"/>
    </w:tcPr>
    <w:tblStylePr w:type="firstRow">
      <w:rPr>
        <w:b/>
        <w:bCs/>
      </w:rPr>
      <w:tblPr/>
      <w:tcPr>
        <w:shd w:val="clear" w:color="auto" w:fill="E9E9E9" w:themeFill="accent6" w:themeFillTint="66"/>
      </w:tcPr>
    </w:tblStylePr>
    <w:tblStylePr w:type="lastRow">
      <w:rPr>
        <w:b/>
        <w:bCs/>
        <w:color w:val="000000" w:themeColor="text1"/>
      </w:rPr>
      <w:tblPr/>
      <w:tcPr>
        <w:shd w:val="clear" w:color="auto" w:fill="E9E9E9" w:themeFill="accent6" w:themeFillTint="66"/>
      </w:tcPr>
    </w:tblStylePr>
    <w:tblStylePr w:type="firstCol">
      <w:rPr>
        <w:color w:val="FFFFFF" w:themeColor="background1"/>
      </w:rPr>
      <w:tblPr/>
      <w:tcPr>
        <w:shd w:val="clear" w:color="auto" w:fill="959595" w:themeFill="accent6" w:themeFillShade="BF"/>
      </w:tcPr>
    </w:tblStylePr>
    <w:tblStylePr w:type="lastCol">
      <w:rPr>
        <w:color w:val="FFFFFF" w:themeColor="background1"/>
      </w:rPr>
      <w:tblPr/>
      <w:tcPr>
        <w:shd w:val="clear" w:color="auto" w:fill="959595" w:themeFill="accent6" w:themeFillShade="BF"/>
      </w:tc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ColorfulList">
    <w:name w:val="Colorful List"/>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E8E8FC" w:themeFill="accen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6F7" w:themeFill="accent1" w:themeFillTint="3F"/>
      </w:tcPr>
    </w:tblStylePr>
    <w:tblStylePr w:type="band1Horz">
      <w:tblPr/>
      <w:tcPr>
        <w:shd w:val="clear" w:color="auto" w:fill="D2D1F8" w:themeFill="accent1" w:themeFillTint="33"/>
      </w:tcPr>
    </w:tblStylePr>
  </w:style>
  <w:style w:type="table" w:styleId="ColorfulList-Accent2">
    <w:name w:val="Colorful List Accent 2"/>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E6F2FF" w:themeFill="accent2"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EFF" w:themeFill="accent2" w:themeFillTint="3F"/>
      </w:tcPr>
    </w:tblStylePr>
    <w:tblStylePr w:type="band1Horz">
      <w:tblPr/>
      <w:tcPr>
        <w:shd w:val="clear" w:color="auto" w:fill="CEE4FF" w:themeFill="accent2" w:themeFillTint="33"/>
      </w:tcPr>
    </w:tblStylePr>
  </w:style>
  <w:style w:type="table" w:styleId="ColorfulList-Accent3">
    <w:name w:val="Colorful List Accent 3"/>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EEFCFF" w:themeFill="accent3" w:themeFillTint="19"/>
    </w:tcPr>
    <w:tblStylePr w:type="firstRow">
      <w:rPr>
        <w:b/>
        <w:bCs/>
        <w:color w:val="FFFFFF" w:themeColor="background1"/>
      </w:rPr>
      <w:tblPr/>
      <w:tcPr>
        <w:tcBorders>
          <w:bottom w:val="single" w:sz="12" w:space="0" w:color="FFFFFF" w:themeColor="background1"/>
        </w:tcBorders>
        <w:shd w:val="clear" w:color="auto" w:fill="001844" w:themeFill="accent4" w:themeFillShade="CC"/>
      </w:tcPr>
    </w:tblStylePr>
    <w:tblStylePr w:type="lastRow">
      <w:rPr>
        <w:b/>
        <w:bCs/>
        <w:color w:val="00184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8FF" w:themeFill="accent3" w:themeFillTint="3F"/>
      </w:tcPr>
    </w:tblStylePr>
    <w:tblStylePr w:type="band1Horz">
      <w:tblPr/>
      <w:tcPr>
        <w:shd w:val="clear" w:color="auto" w:fill="DEF9FF" w:themeFill="accent3" w:themeFillTint="33"/>
      </w:tcPr>
    </w:tblStylePr>
  </w:style>
  <w:style w:type="table" w:styleId="ColorfulList-Accent4">
    <w:name w:val="Colorful List Accent 4"/>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D5E4FF" w:themeFill="accent4" w:themeFillTint="19"/>
    </w:tcPr>
    <w:tblStylePr w:type="firstRow">
      <w:rPr>
        <w:b/>
        <w:bCs/>
        <w:color w:val="FFFFFF" w:themeColor="background1"/>
      </w:rPr>
      <w:tblPr/>
      <w:tcPr>
        <w:tcBorders>
          <w:bottom w:val="single" w:sz="12" w:space="0" w:color="FFFFFF" w:themeColor="background1"/>
        </w:tcBorders>
        <w:shd w:val="clear" w:color="auto" w:fill="15DBFF" w:themeFill="accent3" w:themeFillShade="CC"/>
      </w:tcPr>
    </w:tblStylePr>
    <w:tblStylePr w:type="lastRow">
      <w:rPr>
        <w:b/>
        <w:bCs/>
        <w:color w:val="15DBF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BBFF" w:themeFill="accent4" w:themeFillTint="3F"/>
      </w:tcPr>
    </w:tblStylePr>
    <w:tblStylePr w:type="band1Horz">
      <w:tblPr/>
      <w:tcPr>
        <w:shd w:val="clear" w:color="auto" w:fill="AAC8FF" w:themeFill="accent4" w:themeFillTint="33"/>
      </w:tcPr>
    </w:tblStylePr>
  </w:style>
  <w:style w:type="table" w:styleId="ColorfulList-Accent5">
    <w:name w:val="Colorful List Accent 5"/>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F6F6F6" w:themeFill="accent5" w:themeFillTint="19"/>
    </w:tcPr>
    <w:tblStylePr w:type="firstRow">
      <w:rPr>
        <w:b/>
        <w:bCs/>
        <w:color w:val="FFFFFF" w:themeColor="background1"/>
      </w:rPr>
      <w:tblPr/>
      <w:tcPr>
        <w:tcBorders>
          <w:bottom w:val="single" w:sz="12" w:space="0" w:color="FFFFFF" w:themeColor="background1"/>
        </w:tcBorders>
        <w:shd w:val="clear" w:color="auto" w:fill="A0A0A0" w:themeFill="accent6" w:themeFillShade="CC"/>
      </w:tcPr>
    </w:tblStylePr>
    <w:tblStylePr w:type="lastRow">
      <w:rPr>
        <w:b/>
        <w:bCs/>
        <w:color w:val="A0A0A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5" w:themeFillTint="3F"/>
      </w:tcPr>
    </w:tblStylePr>
    <w:tblStylePr w:type="band1Horz">
      <w:tblPr/>
      <w:tcPr>
        <w:shd w:val="clear" w:color="auto" w:fill="EDEDED" w:themeFill="accent5" w:themeFillTint="33"/>
      </w:tcPr>
    </w:tblStylePr>
  </w:style>
  <w:style w:type="table" w:styleId="ColorfulList-Accent6">
    <w:name w:val="Colorful List Accent 6"/>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848484" w:themeFill="accent5" w:themeFillShade="CC"/>
      </w:tcPr>
    </w:tblStylePr>
    <w:tblStylePr w:type="lastRow">
      <w:rPr>
        <w:b/>
        <w:bCs/>
        <w:color w:val="8484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6" w:themeFillTint="3F"/>
      </w:tcPr>
    </w:tblStylePr>
    <w:tblStylePr w:type="band1Horz">
      <w:tblPr/>
      <w:tcPr>
        <w:shd w:val="clear" w:color="auto" w:fill="F4F4F4" w:themeFill="accent6" w:themeFillTint="33"/>
      </w:tcPr>
    </w:tblStylePr>
  </w:style>
  <w:style w:type="table" w:styleId="ColorfulShading">
    <w:name w:val="Colorful Shading"/>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0A7DF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0A7DFF" w:themeColor="accent2"/>
        <w:left w:val="single" w:sz="4" w:space="0" w:color="231EDC" w:themeColor="accent1"/>
        <w:bottom w:val="single" w:sz="4" w:space="0" w:color="231EDC" w:themeColor="accent1"/>
        <w:right w:val="single" w:sz="4" w:space="0" w:color="231EDC" w:themeColor="accent1"/>
        <w:insideH w:val="single" w:sz="4" w:space="0" w:color="FFFFFF" w:themeColor="background1"/>
        <w:insideV w:val="single" w:sz="4" w:space="0" w:color="FFFFFF" w:themeColor="background1"/>
      </w:tblBorders>
    </w:tblPr>
    <w:tcPr>
      <w:shd w:val="clear" w:color="auto" w:fill="E8E8FC" w:themeFill="accen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83" w:themeFill="accent1" w:themeFillShade="99"/>
      </w:tcPr>
    </w:tblStylePr>
    <w:tblStylePr w:type="firstCol">
      <w:rPr>
        <w:color w:val="FFFFFF" w:themeColor="background1"/>
      </w:rPr>
      <w:tblPr/>
      <w:tcPr>
        <w:tcBorders>
          <w:top w:val="nil"/>
          <w:left w:val="nil"/>
          <w:bottom w:val="nil"/>
          <w:right w:val="nil"/>
          <w:insideH w:val="single" w:sz="4" w:space="0" w:color="141283" w:themeColor="accent1" w:themeShade="99"/>
          <w:insideV w:val="nil"/>
        </w:tcBorders>
        <w:shd w:val="clear" w:color="auto" w:fill="14128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41283" w:themeFill="accent1" w:themeFillShade="99"/>
      </w:tcPr>
    </w:tblStylePr>
    <w:tblStylePr w:type="band1Vert">
      <w:tblPr/>
      <w:tcPr>
        <w:shd w:val="clear" w:color="auto" w:fill="A5A3F2" w:themeFill="accent1" w:themeFillTint="66"/>
      </w:tcPr>
    </w:tblStylePr>
    <w:tblStylePr w:type="band1Horz">
      <w:tblPr/>
      <w:tcPr>
        <w:shd w:val="clear" w:color="auto" w:fill="8F8CE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0A7DFF" w:themeColor="accent2"/>
        <w:left w:val="single" w:sz="4" w:space="0" w:color="0A7DFF" w:themeColor="accent2"/>
        <w:bottom w:val="single" w:sz="4" w:space="0" w:color="0A7DFF" w:themeColor="accent2"/>
        <w:right w:val="single" w:sz="4" w:space="0" w:color="0A7DFF" w:themeColor="accent2"/>
        <w:insideH w:val="single" w:sz="4" w:space="0" w:color="FFFFFF" w:themeColor="background1"/>
        <w:insideV w:val="single" w:sz="4" w:space="0" w:color="FFFFFF" w:themeColor="background1"/>
      </w:tblBorders>
    </w:tblPr>
    <w:tcPr>
      <w:shd w:val="clear" w:color="auto" w:fill="E6F2FF" w:themeFill="accent2"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A9F" w:themeFill="accent2" w:themeFillShade="99"/>
      </w:tcPr>
    </w:tblStylePr>
    <w:tblStylePr w:type="firstCol">
      <w:rPr>
        <w:color w:val="FFFFFF" w:themeColor="background1"/>
      </w:rPr>
      <w:tblPr/>
      <w:tcPr>
        <w:tcBorders>
          <w:top w:val="nil"/>
          <w:left w:val="nil"/>
          <w:bottom w:val="nil"/>
          <w:right w:val="nil"/>
          <w:insideH w:val="single" w:sz="4" w:space="0" w:color="004A9F" w:themeColor="accent2" w:themeShade="99"/>
          <w:insideV w:val="nil"/>
        </w:tcBorders>
        <w:shd w:val="clear" w:color="auto" w:fill="004A9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A9F" w:themeFill="accent2" w:themeFillShade="99"/>
      </w:tcPr>
    </w:tblStylePr>
    <w:tblStylePr w:type="band1Vert">
      <w:tblPr/>
      <w:tcPr>
        <w:shd w:val="clear" w:color="auto" w:fill="9DCAFF" w:themeFill="accent2" w:themeFillTint="66"/>
      </w:tcPr>
    </w:tblStylePr>
    <w:tblStylePr w:type="band1Horz">
      <w:tblPr/>
      <w:tcPr>
        <w:shd w:val="clear" w:color="auto" w:fill="84BD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001E55" w:themeColor="accent4"/>
        <w:left w:val="single" w:sz="4" w:space="0" w:color="5AE6FF" w:themeColor="accent3"/>
        <w:bottom w:val="single" w:sz="4" w:space="0" w:color="5AE6FF" w:themeColor="accent3"/>
        <w:right w:val="single" w:sz="4" w:space="0" w:color="5AE6FF" w:themeColor="accent3"/>
        <w:insideH w:val="single" w:sz="4" w:space="0" w:color="FFFFFF" w:themeColor="background1"/>
        <w:insideV w:val="single" w:sz="4" w:space="0" w:color="FFFFFF" w:themeColor="background1"/>
      </w:tblBorders>
    </w:tblPr>
    <w:tcPr>
      <w:shd w:val="clear" w:color="auto" w:fill="EEFCFF" w:themeFill="accent3" w:themeFillTint="19"/>
    </w:tcPr>
    <w:tblStylePr w:type="firstRow">
      <w:rPr>
        <w:b/>
        <w:bCs/>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AFCF" w:themeFill="accent3" w:themeFillShade="99"/>
      </w:tcPr>
    </w:tblStylePr>
    <w:tblStylePr w:type="firstCol">
      <w:rPr>
        <w:color w:val="FFFFFF" w:themeColor="background1"/>
      </w:rPr>
      <w:tblPr/>
      <w:tcPr>
        <w:tcBorders>
          <w:top w:val="nil"/>
          <w:left w:val="nil"/>
          <w:bottom w:val="nil"/>
          <w:right w:val="nil"/>
          <w:insideH w:val="single" w:sz="4" w:space="0" w:color="00AFCF" w:themeColor="accent3" w:themeShade="99"/>
          <w:insideV w:val="nil"/>
        </w:tcBorders>
        <w:shd w:val="clear" w:color="auto" w:fill="00AFC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AFCF" w:themeFill="accent3" w:themeFillShade="99"/>
      </w:tcPr>
    </w:tblStylePr>
    <w:tblStylePr w:type="band1Vert">
      <w:tblPr/>
      <w:tcPr>
        <w:shd w:val="clear" w:color="auto" w:fill="BDF4FF" w:themeFill="accent3" w:themeFillTint="66"/>
      </w:tcPr>
    </w:tblStylePr>
    <w:tblStylePr w:type="band1Horz">
      <w:tblPr/>
      <w:tcPr>
        <w:shd w:val="clear" w:color="auto" w:fill="ACF2FF" w:themeFill="accent3" w:themeFillTint="7F"/>
      </w:tcPr>
    </w:tblStylePr>
  </w:style>
  <w:style w:type="table" w:styleId="ColorfulShading-Accent4">
    <w:name w:val="Colorful Shading Accent 4"/>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5AE6FF" w:themeColor="accent3"/>
        <w:left w:val="single" w:sz="4" w:space="0" w:color="001E55" w:themeColor="accent4"/>
        <w:bottom w:val="single" w:sz="4" w:space="0" w:color="001E55" w:themeColor="accent4"/>
        <w:right w:val="single" w:sz="4" w:space="0" w:color="001E55" w:themeColor="accent4"/>
        <w:insideH w:val="single" w:sz="4" w:space="0" w:color="FFFFFF" w:themeColor="background1"/>
        <w:insideV w:val="single" w:sz="4" w:space="0" w:color="FFFFFF" w:themeColor="background1"/>
      </w:tblBorders>
    </w:tblPr>
    <w:tcPr>
      <w:shd w:val="clear" w:color="auto" w:fill="D5E4FF" w:themeFill="accent4" w:themeFillTint="19"/>
    </w:tcPr>
    <w:tblStylePr w:type="firstRow">
      <w:rPr>
        <w:b/>
        <w:bCs/>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233" w:themeFill="accent4" w:themeFillShade="99"/>
      </w:tcPr>
    </w:tblStylePr>
    <w:tblStylePr w:type="firstCol">
      <w:rPr>
        <w:color w:val="FFFFFF" w:themeColor="background1"/>
      </w:rPr>
      <w:tblPr/>
      <w:tcPr>
        <w:tcBorders>
          <w:top w:val="nil"/>
          <w:left w:val="nil"/>
          <w:bottom w:val="nil"/>
          <w:right w:val="nil"/>
          <w:insideH w:val="single" w:sz="4" w:space="0" w:color="001233" w:themeColor="accent4" w:themeShade="99"/>
          <w:insideV w:val="nil"/>
        </w:tcBorders>
        <w:shd w:val="clear" w:color="auto" w:fill="00123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233" w:themeFill="accent4" w:themeFillShade="99"/>
      </w:tcPr>
    </w:tblStylePr>
    <w:tblStylePr w:type="band1Vert">
      <w:tblPr/>
      <w:tcPr>
        <w:shd w:val="clear" w:color="auto" w:fill="5591FF" w:themeFill="accent4" w:themeFillTint="66"/>
      </w:tcPr>
    </w:tblStylePr>
    <w:tblStylePr w:type="band1Horz">
      <w:tblPr/>
      <w:tcPr>
        <w:shd w:val="clear" w:color="auto" w:fill="2B76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C8C8C8" w:themeColor="accent6"/>
        <w:left w:val="single" w:sz="4" w:space="0" w:color="A5A5A5" w:themeColor="accent5"/>
        <w:bottom w:val="single" w:sz="4" w:space="0" w:color="A5A5A5" w:themeColor="accent5"/>
        <w:right w:val="single" w:sz="4" w:space="0" w:color="A5A5A5" w:themeColor="accent5"/>
        <w:insideH w:val="single" w:sz="4" w:space="0" w:color="FFFFFF" w:themeColor="background1"/>
        <w:insideV w:val="single" w:sz="4" w:space="0" w:color="FFFFFF" w:themeColor="background1"/>
      </w:tblBorders>
    </w:tblPr>
    <w:tcPr>
      <w:shd w:val="clear" w:color="auto" w:fill="F6F6F6" w:themeFill="accent5" w:themeFillTint="19"/>
    </w:tcPr>
    <w:tblStylePr w:type="firstRow">
      <w:rPr>
        <w:b/>
        <w:bCs/>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5" w:themeFillShade="99"/>
      </w:tcPr>
    </w:tblStylePr>
    <w:tblStylePr w:type="firstCol">
      <w:rPr>
        <w:color w:val="FFFFFF" w:themeColor="background1"/>
      </w:rPr>
      <w:tblPr/>
      <w:tcPr>
        <w:tcBorders>
          <w:top w:val="nil"/>
          <w:left w:val="nil"/>
          <w:bottom w:val="nil"/>
          <w:right w:val="nil"/>
          <w:insideH w:val="single" w:sz="4" w:space="0" w:color="636363" w:themeColor="accent5" w:themeShade="99"/>
          <w:insideV w:val="nil"/>
        </w:tcBorders>
        <w:shd w:val="clear" w:color="auto" w:fill="6363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5" w:themeFillShade="99"/>
      </w:tcPr>
    </w:tblStylePr>
    <w:tblStylePr w:type="band1Vert">
      <w:tblPr/>
      <w:tcPr>
        <w:shd w:val="clear" w:color="auto" w:fill="DBDBDB" w:themeFill="accent5" w:themeFillTint="66"/>
      </w:tcPr>
    </w:tblStylePr>
    <w:tblStylePr w:type="band1Horz">
      <w:tblPr/>
      <w:tcPr>
        <w:shd w:val="clear" w:color="auto" w:fill="D2D2D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A5A5A5" w:themeColor="accent5"/>
        <w:left w:val="single" w:sz="4" w:space="0" w:color="C8C8C8" w:themeColor="accent6"/>
        <w:bottom w:val="single" w:sz="4" w:space="0" w:color="C8C8C8" w:themeColor="accent6"/>
        <w:right w:val="single" w:sz="4" w:space="0" w:color="C8C8C8"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6" w:themeFillShade="99"/>
      </w:tcPr>
    </w:tblStylePr>
    <w:tblStylePr w:type="firstCol">
      <w:rPr>
        <w:color w:val="FFFFFF" w:themeColor="background1"/>
      </w:rPr>
      <w:tblPr/>
      <w:tcPr>
        <w:tcBorders>
          <w:top w:val="nil"/>
          <w:left w:val="nil"/>
          <w:bottom w:val="nil"/>
          <w:right w:val="nil"/>
          <w:insideH w:val="single" w:sz="4" w:space="0" w:color="787878" w:themeColor="accent6" w:themeShade="99"/>
          <w:insideV w:val="nil"/>
        </w:tcBorders>
        <w:shd w:val="clear" w:color="auto" w:fill="78787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6" w:themeFillShade="99"/>
      </w:tcPr>
    </w:tblStylePr>
    <w:tblStylePr w:type="band1Vert">
      <w:tblPr/>
      <w:tcPr>
        <w:shd w:val="clear" w:color="auto" w:fill="E9E9E9" w:themeFill="accent6" w:themeFillTint="66"/>
      </w:tcPr>
    </w:tblStylePr>
    <w:tblStylePr w:type="band1Horz">
      <w:tblPr/>
      <w:tcPr>
        <w:shd w:val="clear" w:color="auto" w:fill="E3E3E3"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231E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0F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916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916A4" w:themeFill="accent1" w:themeFillShade="BF"/>
      </w:tcPr>
    </w:tblStylePr>
    <w:tblStylePr w:type="band1Vert">
      <w:tblPr/>
      <w:tcPr>
        <w:tcBorders>
          <w:top w:val="nil"/>
          <w:left w:val="nil"/>
          <w:bottom w:val="nil"/>
          <w:right w:val="nil"/>
          <w:insideH w:val="nil"/>
          <w:insideV w:val="nil"/>
        </w:tcBorders>
        <w:shd w:val="clear" w:color="auto" w:fill="1916A4" w:themeFill="accent1" w:themeFillShade="BF"/>
      </w:tcPr>
    </w:tblStylePr>
    <w:tblStylePr w:type="band1Horz">
      <w:tblPr/>
      <w:tcPr>
        <w:tcBorders>
          <w:top w:val="nil"/>
          <w:left w:val="nil"/>
          <w:bottom w:val="nil"/>
          <w:right w:val="nil"/>
          <w:insideH w:val="nil"/>
          <w:insideV w:val="nil"/>
        </w:tcBorders>
        <w:shd w:val="clear" w:color="auto" w:fill="1916A4" w:themeFill="accent1" w:themeFillShade="BF"/>
      </w:tcPr>
    </w:tblStylePr>
  </w:style>
  <w:style w:type="table" w:styleId="DarkList-Accent2">
    <w:name w:val="Dark List Accent 2"/>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0A7DF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D8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CC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CC6" w:themeFill="accent2" w:themeFillShade="BF"/>
      </w:tcPr>
    </w:tblStylePr>
    <w:tblStylePr w:type="band1Vert">
      <w:tblPr/>
      <w:tcPr>
        <w:tcBorders>
          <w:top w:val="nil"/>
          <w:left w:val="nil"/>
          <w:bottom w:val="nil"/>
          <w:right w:val="nil"/>
          <w:insideH w:val="nil"/>
          <w:insideV w:val="nil"/>
        </w:tcBorders>
        <w:shd w:val="clear" w:color="auto" w:fill="005CC6" w:themeFill="accent2" w:themeFillShade="BF"/>
      </w:tcPr>
    </w:tblStylePr>
    <w:tblStylePr w:type="band1Horz">
      <w:tblPr/>
      <w:tcPr>
        <w:tcBorders>
          <w:top w:val="nil"/>
          <w:left w:val="nil"/>
          <w:bottom w:val="nil"/>
          <w:right w:val="nil"/>
          <w:insideH w:val="nil"/>
          <w:insideV w:val="nil"/>
        </w:tcBorders>
        <w:shd w:val="clear" w:color="auto" w:fill="005CC6" w:themeFill="accent2" w:themeFillShade="BF"/>
      </w:tcPr>
    </w:tblStylePr>
  </w:style>
  <w:style w:type="table" w:styleId="DarkList-Accent3">
    <w:name w:val="Dark List Accent 3"/>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5AE6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91A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3D8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3D8FF" w:themeFill="accent3" w:themeFillShade="BF"/>
      </w:tcPr>
    </w:tblStylePr>
    <w:tblStylePr w:type="band1Vert">
      <w:tblPr/>
      <w:tcPr>
        <w:tcBorders>
          <w:top w:val="nil"/>
          <w:left w:val="nil"/>
          <w:bottom w:val="nil"/>
          <w:right w:val="nil"/>
          <w:insideH w:val="nil"/>
          <w:insideV w:val="nil"/>
        </w:tcBorders>
        <w:shd w:val="clear" w:color="auto" w:fill="03D8FF" w:themeFill="accent3" w:themeFillShade="BF"/>
      </w:tcPr>
    </w:tblStylePr>
    <w:tblStylePr w:type="band1Horz">
      <w:tblPr/>
      <w:tcPr>
        <w:tcBorders>
          <w:top w:val="nil"/>
          <w:left w:val="nil"/>
          <w:bottom w:val="nil"/>
          <w:right w:val="nil"/>
          <w:insideH w:val="nil"/>
          <w:insideV w:val="nil"/>
        </w:tcBorders>
        <w:shd w:val="clear" w:color="auto" w:fill="03D8FF" w:themeFill="accent3" w:themeFillShade="BF"/>
      </w:tcPr>
    </w:tblStylePr>
  </w:style>
  <w:style w:type="table" w:styleId="DarkList-Accent4">
    <w:name w:val="Dark List Accent 4"/>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001E5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E2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63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63F" w:themeFill="accent4" w:themeFillShade="BF"/>
      </w:tcPr>
    </w:tblStylePr>
    <w:tblStylePr w:type="band1Vert">
      <w:tblPr/>
      <w:tcPr>
        <w:tcBorders>
          <w:top w:val="nil"/>
          <w:left w:val="nil"/>
          <w:bottom w:val="nil"/>
          <w:right w:val="nil"/>
          <w:insideH w:val="nil"/>
          <w:insideV w:val="nil"/>
        </w:tcBorders>
        <w:shd w:val="clear" w:color="auto" w:fill="00163F" w:themeFill="accent4" w:themeFillShade="BF"/>
      </w:tcPr>
    </w:tblStylePr>
    <w:tblStylePr w:type="band1Horz">
      <w:tblPr/>
      <w:tcPr>
        <w:tcBorders>
          <w:top w:val="nil"/>
          <w:left w:val="nil"/>
          <w:bottom w:val="nil"/>
          <w:right w:val="nil"/>
          <w:insideH w:val="nil"/>
          <w:insideV w:val="nil"/>
        </w:tcBorders>
        <w:shd w:val="clear" w:color="auto" w:fill="00163F" w:themeFill="accent4" w:themeFillShade="BF"/>
      </w:tcPr>
    </w:tblStylePr>
  </w:style>
  <w:style w:type="table" w:styleId="DarkList-Accent5">
    <w:name w:val="Dark List Accent 5"/>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A5A5A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5" w:themeFillShade="BF"/>
      </w:tcPr>
    </w:tblStylePr>
    <w:tblStylePr w:type="band1Vert">
      <w:tblPr/>
      <w:tcPr>
        <w:tcBorders>
          <w:top w:val="nil"/>
          <w:left w:val="nil"/>
          <w:bottom w:val="nil"/>
          <w:right w:val="nil"/>
          <w:insideH w:val="nil"/>
          <w:insideV w:val="nil"/>
        </w:tcBorders>
        <w:shd w:val="clear" w:color="auto" w:fill="7B7B7B" w:themeFill="accent5" w:themeFillShade="BF"/>
      </w:tcPr>
    </w:tblStylePr>
    <w:tblStylePr w:type="band1Horz">
      <w:tblPr/>
      <w:tcPr>
        <w:tcBorders>
          <w:top w:val="nil"/>
          <w:left w:val="nil"/>
          <w:bottom w:val="nil"/>
          <w:right w:val="nil"/>
          <w:insideH w:val="nil"/>
          <w:insideV w:val="nil"/>
        </w:tcBorders>
        <w:shd w:val="clear" w:color="auto" w:fill="7B7B7B" w:themeFill="accent5" w:themeFillShade="BF"/>
      </w:tcPr>
    </w:tblStylePr>
  </w:style>
  <w:style w:type="table" w:styleId="DarkList-Accent6">
    <w:name w:val="Dark List Accent 6"/>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C8C8C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6" w:themeFillShade="BF"/>
      </w:tcPr>
    </w:tblStylePr>
    <w:tblStylePr w:type="band1Vert">
      <w:tblPr/>
      <w:tcPr>
        <w:tcBorders>
          <w:top w:val="nil"/>
          <w:left w:val="nil"/>
          <w:bottom w:val="nil"/>
          <w:right w:val="nil"/>
          <w:insideH w:val="nil"/>
          <w:insideV w:val="nil"/>
        </w:tcBorders>
        <w:shd w:val="clear" w:color="auto" w:fill="959595" w:themeFill="accent6" w:themeFillShade="BF"/>
      </w:tcPr>
    </w:tblStylePr>
    <w:tblStylePr w:type="band1Horz">
      <w:tblPr/>
      <w:tcPr>
        <w:tcBorders>
          <w:top w:val="nil"/>
          <w:left w:val="nil"/>
          <w:bottom w:val="nil"/>
          <w:right w:val="nil"/>
          <w:insideH w:val="nil"/>
          <w:insideV w:val="nil"/>
        </w:tcBorders>
        <w:shd w:val="clear" w:color="auto" w:fill="959595" w:themeFill="accent6" w:themeFillShade="BF"/>
      </w:tcPr>
    </w:tblStylePr>
  </w:style>
  <w:style w:type="paragraph" w:styleId="Date">
    <w:name w:val="Date"/>
    <w:basedOn w:val="Normal"/>
    <w:next w:val="Normal"/>
    <w:link w:val="DateChar"/>
    <w:uiPriority w:val="99"/>
    <w:semiHidden/>
    <w:unhideWhenUsed/>
    <w:locked/>
    <w:rsid w:val="00095532"/>
  </w:style>
  <w:style w:type="character" w:customStyle="1" w:styleId="DateChar">
    <w:name w:val="Date Char"/>
    <w:basedOn w:val="DefaultParagraphFont"/>
    <w:link w:val="Date"/>
    <w:uiPriority w:val="99"/>
    <w:semiHidden/>
    <w:rsid w:val="00095532"/>
  </w:style>
  <w:style w:type="paragraph" w:styleId="DocumentMap">
    <w:name w:val="Document Map"/>
    <w:basedOn w:val="Normal"/>
    <w:link w:val="DocumentMapChar"/>
    <w:uiPriority w:val="99"/>
    <w:semiHidden/>
    <w:unhideWhenUsed/>
    <w:locked/>
    <w:rsid w:val="00095532"/>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95532"/>
    <w:rPr>
      <w:rFonts w:ascii="Segoe UI" w:hAnsi="Segoe UI" w:cs="Segoe UI"/>
      <w:sz w:val="16"/>
      <w:szCs w:val="16"/>
    </w:rPr>
  </w:style>
  <w:style w:type="paragraph" w:styleId="E-mailSignature">
    <w:name w:val="E-mail Signature"/>
    <w:basedOn w:val="Normal"/>
    <w:link w:val="E-mailSignatureChar"/>
    <w:uiPriority w:val="99"/>
    <w:semiHidden/>
    <w:locked/>
    <w:rsid w:val="00095532"/>
    <w:pPr>
      <w:tabs>
        <w:tab w:val="left" w:pos="425"/>
      </w:tabs>
      <w:spacing w:after="120"/>
    </w:pPr>
    <w:rPr>
      <w:noProof/>
    </w:rPr>
  </w:style>
  <w:style w:type="character" w:customStyle="1" w:styleId="E-mailSignatureChar">
    <w:name w:val="E-mail Signature Char"/>
    <w:basedOn w:val="DefaultParagraphFont"/>
    <w:link w:val="E-mailSignature"/>
    <w:uiPriority w:val="99"/>
    <w:semiHidden/>
    <w:rsid w:val="00095532"/>
    <w:rPr>
      <w:noProof/>
    </w:rPr>
  </w:style>
  <w:style w:type="character" w:styleId="Emphasis">
    <w:name w:val="Emphasis"/>
    <w:basedOn w:val="DefaultParagraphFont"/>
    <w:uiPriority w:val="20"/>
    <w:qFormat/>
    <w:locked/>
    <w:rsid w:val="00095532"/>
    <w:rPr>
      <w:i/>
      <w:iCs/>
    </w:rPr>
  </w:style>
  <w:style w:type="character" w:styleId="EndnoteReference">
    <w:name w:val="endnote reference"/>
    <w:basedOn w:val="DefaultParagraphFont"/>
    <w:uiPriority w:val="99"/>
    <w:semiHidden/>
    <w:unhideWhenUsed/>
    <w:locked/>
    <w:rsid w:val="00095532"/>
    <w:rPr>
      <w:vertAlign w:val="superscript"/>
    </w:rPr>
  </w:style>
  <w:style w:type="paragraph" w:styleId="EndnoteText">
    <w:name w:val="endnote text"/>
    <w:basedOn w:val="Normal"/>
    <w:link w:val="EndnoteTextChar"/>
    <w:uiPriority w:val="99"/>
    <w:semiHidden/>
    <w:unhideWhenUsed/>
    <w:locked/>
    <w:rsid w:val="00095532"/>
  </w:style>
  <w:style w:type="character" w:customStyle="1" w:styleId="EndnoteTextChar">
    <w:name w:val="Endnote Text Char"/>
    <w:basedOn w:val="DefaultParagraphFont"/>
    <w:link w:val="EndnoteText"/>
    <w:uiPriority w:val="99"/>
    <w:semiHidden/>
    <w:rsid w:val="00095532"/>
  </w:style>
  <w:style w:type="paragraph" w:styleId="EnvelopeAddress">
    <w:name w:val="envelope address"/>
    <w:basedOn w:val="Normal"/>
    <w:uiPriority w:val="99"/>
    <w:semiHidden/>
    <w:unhideWhenUsed/>
    <w:locked/>
    <w:rsid w:val="00095532"/>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locked/>
    <w:rsid w:val="00095532"/>
    <w:rPr>
      <w:rFonts w:eastAsiaTheme="majorEastAsia" w:cstheme="majorBidi"/>
    </w:rPr>
  </w:style>
  <w:style w:type="character" w:styleId="FollowedHyperlink">
    <w:name w:val="FollowedHyperlink"/>
    <w:basedOn w:val="DefaultParagraphFont"/>
    <w:uiPriority w:val="99"/>
    <w:semiHidden/>
    <w:unhideWhenUsed/>
    <w:locked/>
    <w:rsid w:val="00095532"/>
    <w:rPr>
      <w:color w:val="E5E5E5" w:themeColor="followedHyperlink"/>
      <w:u w:val="single"/>
    </w:rPr>
  </w:style>
  <w:style w:type="table" w:styleId="GridTable1Light">
    <w:name w:val="Grid Table 1 Light"/>
    <w:basedOn w:val="TableNormal"/>
    <w:uiPriority w:val="46"/>
    <w:locked/>
    <w:rsid w:val="00095532"/>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095532"/>
    <w:pPr>
      <w:spacing w:line="240" w:lineRule="auto"/>
    </w:pPr>
    <w:tblPr>
      <w:tblStyleRowBandSize w:val="1"/>
      <w:tblStyleColBandSize w:val="1"/>
      <w:tblBorders>
        <w:top w:val="single" w:sz="4" w:space="0" w:color="A5A3F2" w:themeColor="accent1" w:themeTint="66"/>
        <w:left w:val="single" w:sz="4" w:space="0" w:color="A5A3F2" w:themeColor="accent1" w:themeTint="66"/>
        <w:bottom w:val="single" w:sz="4" w:space="0" w:color="A5A3F2" w:themeColor="accent1" w:themeTint="66"/>
        <w:right w:val="single" w:sz="4" w:space="0" w:color="A5A3F2" w:themeColor="accent1" w:themeTint="66"/>
        <w:insideH w:val="single" w:sz="4" w:space="0" w:color="A5A3F2" w:themeColor="accent1" w:themeTint="66"/>
        <w:insideV w:val="single" w:sz="4" w:space="0" w:color="A5A3F2" w:themeColor="accent1" w:themeTint="66"/>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2" w:space="0" w:color="7875E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095532"/>
    <w:pPr>
      <w:spacing w:line="240" w:lineRule="auto"/>
    </w:pPr>
    <w:tblPr>
      <w:tblStyleRowBandSize w:val="1"/>
      <w:tblStyleColBandSize w:val="1"/>
      <w:tblBorders>
        <w:top w:val="single" w:sz="4" w:space="0" w:color="9DCAFF" w:themeColor="accent2" w:themeTint="66"/>
        <w:left w:val="single" w:sz="4" w:space="0" w:color="9DCAFF" w:themeColor="accent2" w:themeTint="66"/>
        <w:bottom w:val="single" w:sz="4" w:space="0" w:color="9DCAFF" w:themeColor="accent2" w:themeTint="66"/>
        <w:right w:val="single" w:sz="4" w:space="0" w:color="9DCAFF" w:themeColor="accent2" w:themeTint="66"/>
        <w:insideH w:val="single" w:sz="4" w:space="0" w:color="9DCAFF" w:themeColor="accent2" w:themeTint="66"/>
        <w:insideV w:val="single" w:sz="4" w:space="0" w:color="9DCAFF" w:themeColor="accent2" w:themeTint="66"/>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2" w:space="0" w:color="6CB0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095532"/>
    <w:pPr>
      <w:spacing w:line="240" w:lineRule="auto"/>
    </w:pPr>
    <w:tblPr>
      <w:tblStyleRowBandSize w:val="1"/>
      <w:tblStyleColBandSize w:val="1"/>
      <w:tblBorders>
        <w:top w:val="single" w:sz="4" w:space="0" w:color="BDF4FF" w:themeColor="accent3" w:themeTint="66"/>
        <w:left w:val="single" w:sz="4" w:space="0" w:color="BDF4FF" w:themeColor="accent3" w:themeTint="66"/>
        <w:bottom w:val="single" w:sz="4" w:space="0" w:color="BDF4FF" w:themeColor="accent3" w:themeTint="66"/>
        <w:right w:val="single" w:sz="4" w:space="0" w:color="BDF4FF" w:themeColor="accent3" w:themeTint="66"/>
        <w:insideH w:val="single" w:sz="4" w:space="0" w:color="BDF4FF" w:themeColor="accent3" w:themeTint="66"/>
        <w:insideV w:val="single" w:sz="4" w:space="0" w:color="BDF4FF" w:themeColor="accent3" w:themeTint="66"/>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2" w:space="0" w:color="9CEF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095532"/>
    <w:pPr>
      <w:spacing w:line="240" w:lineRule="auto"/>
    </w:pPr>
    <w:tblPr>
      <w:tblStyleRowBandSize w:val="1"/>
      <w:tblStyleColBandSize w:val="1"/>
      <w:tblBorders>
        <w:top w:val="single" w:sz="4" w:space="0" w:color="5591FF" w:themeColor="accent4" w:themeTint="66"/>
        <w:left w:val="single" w:sz="4" w:space="0" w:color="5591FF" w:themeColor="accent4" w:themeTint="66"/>
        <w:bottom w:val="single" w:sz="4" w:space="0" w:color="5591FF" w:themeColor="accent4" w:themeTint="66"/>
        <w:right w:val="single" w:sz="4" w:space="0" w:color="5591FF" w:themeColor="accent4" w:themeTint="66"/>
        <w:insideH w:val="single" w:sz="4" w:space="0" w:color="5591FF" w:themeColor="accent4" w:themeTint="66"/>
        <w:insideV w:val="single" w:sz="4" w:space="0" w:color="5591FF" w:themeColor="accent4" w:themeTint="66"/>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2" w:space="0" w:color="005A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095532"/>
    <w:pPr>
      <w:spacing w:line="240" w:lineRule="auto"/>
    </w:pPr>
    <w:tblPr>
      <w:tblStyleRowBandSize w:val="1"/>
      <w:tblStyleColBandSize w:val="1"/>
      <w:tblBorders>
        <w:top w:val="single" w:sz="4" w:space="0" w:color="DBDBDB" w:themeColor="accent5" w:themeTint="66"/>
        <w:left w:val="single" w:sz="4" w:space="0" w:color="DBDBDB" w:themeColor="accent5" w:themeTint="66"/>
        <w:bottom w:val="single" w:sz="4" w:space="0" w:color="DBDBDB" w:themeColor="accent5" w:themeTint="66"/>
        <w:right w:val="single" w:sz="4" w:space="0" w:color="DBDBDB" w:themeColor="accent5" w:themeTint="66"/>
        <w:insideH w:val="single" w:sz="4" w:space="0" w:color="DBDBDB" w:themeColor="accent5" w:themeTint="66"/>
        <w:insideV w:val="single" w:sz="4" w:space="0" w:color="DBDBDB" w:themeColor="accent5" w:themeTint="66"/>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2" w:space="0" w:color="C9C9C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095532"/>
    <w:pPr>
      <w:spacing w:line="240" w:lineRule="auto"/>
    </w:pPr>
    <w:tblPr>
      <w:tblStyleRowBandSize w:val="1"/>
      <w:tblStyleColBandSize w:val="1"/>
      <w:tblBorders>
        <w:top w:val="single" w:sz="4" w:space="0" w:color="E9E9E9" w:themeColor="accent6" w:themeTint="66"/>
        <w:left w:val="single" w:sz="4" w:space="0" w:color="E9E9E9" w:themeColor="accent6" w:themeTint="66"/>
        <w:bottom w:val="single" w:sz="4" w:space="0" w:color="E9E9E9" w:themeColor="accent6" w:themeTint="66"/>
        <w:right w:val="single" w:sz="4" w:space="0" w:color="E9E9E9" w:themeColor="accent6" w:themeTint="66"/>
        <w:insideH w:val="single" w:sz="4" w:space="0" w:color="E9E9E9" w:themeColor="accent6" w:themeTint="66"/>
        <w:insideV w:val="single" w:sz="4" w:space="0" w:color="E9E9E9" w:themeColor="accent6" w:themeTint="66"/>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2" w:space="0" w:color="DEDED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095532"/>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095532"/>
    <w:pPr>
      <w:spacing w:line="240" w:lineRule="auto"/>
    </w:pPr>
    <w:tblPr>
      <w:tblStyleRowBandSize w:val="1"/>
      <w:tblStyleColBandSize w:val="1"/>
      <w:tblBorders>
        <w:top w:val="single" w:sz="2" w:space="0" w:color="7875EC" w:themeColor="accent1" w:themeTint="99"/>
        <w:bottom w:val="single" w:sz="2" w:space="0" w:color="7875EC" w:themeColor="accent1" w:themeTint="99"/>
        <w:insideH w:val="single" w:sz="2" w:space="0" w:color="7875EC" w:themeColor="accent1" w:themeTint="99"/>
        <w:insideV w:val="single" w:sz="2" w:space="0" w:color="7875EC" w:themeColor="accent1" w:themeTint="99"/>
      </w:tblBorders>
    </w:tblPr>
    <w:tblStylePr w:type="firstRow">
      <w:rPr>
        <w:b/>
        <w:bCs/>
      </w:rPr>
      <w:tblPr/>
      <w:tcPr>
        <w:tcBorders>
          <w:top w:val="nil"/>
          <w:bottom w:val="single" w:sz="12" w:space="0" w:color="7875EC" w:themeColor="accent1" w:themeTint="99"/>
          <w:insideH w:val="nil"/>
          <w:insideV w:val="nil"/>
        </w:tcBorders>
        <w:shd w:val="clear" w:color="auto" w:fill="FFFFFF" w:themeFill="background1"/>
      </w:tcPr>
    </w:tblStylePr>
    <w:tblStylePr w:type="lastRow">
      <w:rPr>
        <w:b/>
        <w:bCs/>
      </w:rPr>
      <w:tblPr/>
      <w:tcPr>
        <w:tcBorders>
          <w:top w:val="double" w:sz="2" w:space="0" w:color="7875E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2-Accent2">
    <w:name w:val="Grid Table 2 Accent 2"/>
    <w:basedOn w:val="TableNormal"/>
    <w:uiPriority w:val="47"/>
    <w:locked/>
    <w:rsid w:val="00095532"/>
    <w:pPr>
      <w:spacing w:line="240" w:lineRule="auto"/>
    </w:pPr>
    <w:tblPr>
      <w:tblStyleRowBandSize w:val="1"/>
      <w:tblStyleColBandSize w:val="1"/>
      <w:tblBorders>
        <w:top w:val="single" w:sz="2" w:space="0" w:color="6CB0FF" w:themeColor="accent2" w:themeTint="99"/>
        <w:bottom w:val="single" w:sz="2" w:space="0" w:color="6CB0FF" w:themeColor="accent2" w:themeTint="99"/>
        <w:insideH w:val="single" w:sz="2" w:space="0" w:color="6CB0FF" w:themeColor="accent2" w:themeTint="99"/>
        <w:insideV w:val="single" w:sz="2" w:space="0" w:color="6CB0FF" w:themeColor="accent2" w:themeTint="99"/>
      </w:tblBorders>
    </w:tblPr>
    <w:tblStylePr w:type="firstRow">
      <w:rPr>
        <w:b/>
        <w:bCs/>
      </w:rPr>
      <w:tblPr/>
      <w:tcPr>
        <w:tcBorders>
          <w:top w:val="nil"/>
          <w:bottom w:val="single" w:sz="12" w:space="0" w:color="6CB0FF" w:themeColor="accent2" w:themeTint="99"/>
          <w:insideH w:val="nil"/>
          <w:insideV w:val="nil"/>
        </w:tcBorders>
        <w:shd w:val="clear" w:color="auto" w:fill="FFFFFF" w:themeFill="background1"/>
      </w:tcPr>
    </w:tblStylePr>
    <w:tblStylePr w:type="lastRow">
      <w:rPr>
        <w:b/>
        <w:bCs/>
      </w:rPr>
      <w:tblPr/>
      <w:tcPr>
        <w:tcBorders>
          <w:top w:val="double" w:sz="2" w:space="0" w:color="6CB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2-Accent3">
    <w:name w:val="Grid Table 2 Accent 3"/>
    <w:basedOn w:val="TableNormal"/>
    <w:uiPriority w:val="47"/>
    <w:locked/>
    <w:rsid w:val="00095532"/>
    <w:pPr>
      <w:spacing w:line="240" w:lineRule="auto"/>
    </w:pPr>
    <w:tblPr>
      <w:tblStyleRowBandSize w:val="1"/>
      <w:tblStyleColBandSize w:val="1"/>
      <w:tblBorders>
        <w:top w:val="single" w:sz="2" w:space="0" w:color="9CEFFF" w:themeColor="accent3" w:themeTint="99"/>
        <w:bottom w:val="single" w:sz="2" w:space="0" w:color="9CEFFF" w:themeColor="accent3" w:themeTint="99"/>
        <w:insideH w:val="single" w:sz="2" w:space="0" w:color="9CEFFF" w:themeColor="accent3" w:themeTint="99"/>
        <w:insideV w:val="single" w:sz="2" w:space="0" w:color="9CEFFF" w:themeColor="accent3" w:themeTint="99"/>
      </w:tblBorders>
    </w:tblPr>
    <w:tblStylePr w:type="firstRow">
      <w:rPr>
        <w:b/>
        <w:bCs/>
      </w:rPr>
      <w:tblPr/>
      <w:tcPr>
        <w:tcBorders>
          <w:top w:val="nil"/>
          <w:bottom w:val="single" w:sz="12" w:space="0" w:color="9CEFFF" w:themeColor="accent3" w:themeTint="99"/>
          <w:insideH w:val="nil"/>
          <w:insideV w:val="nil"/>
        </w:tcBorders>
        <w:shd w:val="clear" w:color="auto" w:fill="FFFFFF" w:themeFill="background1"/>
      </w:tcPr>
    </w:tblStylePr>
    <w:tblStylePr w:type="lastRow">
      <w:rPr>
        <w:b/>
        <w:bCs/>
      </w:rPr>
      <w:tblPr/>
      <w:tcPr>
        <w:tcBorders>
          <w:top w:val="double" w:sz="2" w:space="0" w:color="9CEF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2-Accent4">
    <w:name w:val="Grid Table 2 Accent 4"/>
    <w:basedOn w:val="TableNormal"/>
    <w:uiPriority w:val="47"/>
    <w:locked/>
    <w:rsid w:val="00095532"/>
    <w:pPr>
      <w:spacing w:line="240" w:lineRule="auto"/>
    </w:pPr>
    <w:tblPr>
      <w:tblStyleRowBandSize w:val="1"/>
      <w:tblStyleColBandSize w:val="1"/>
      <w:tblBorders>
        <w:top w:val="single" w:sz="2" w:space="0" w:color="005AFF" w:themeColor="accent4" w:themeTint="99"/>
        <w:bottom w:val="single" w:sz="2" w:space="0" w:color="005AFF" w:themeColor="accent4" w:themeTint="99"/>
        <w:insideH w:val="single" w:sz="2" w:space="0" w:color="005AFF" w:themeColor="accent4" w:themeTint="99"/>
        <w:insideV w:val="single" w:sz="2" w:space="0" w:color="005AFF" w:themeColor="accent4" w:themeTint="99"/>
      </w:tblBorders>
    </w:tblPr>
    <w:tblStylePr w:type="firstRow">
      <w:rPr>
        <w:b/>
        <w:bCs/>
      </w:rPr>
      <w:tblPr/>
      <w:tcPr>
        <w:tcBorders>
          <w:top w:val="nil"/>
          <w:bottom w:val="single" w:sz="12" w:space="0" w:color="005AFF" w:themeColor="accent4" w:themeTint="99"/>
          <w:insideH w:val="nil"/>
          <w:insideV w:val="nil"/>
        </w:tcBorders>
        <w:shd w:val="clear" w:color="auto" w:fill="FFFFFF" w:themeFill="background1"/>
      </w:tcPr>
    </w:tblStylePr>
    <w:tblStylePr w:type="lastRow">
      <w:rPr>
        <w:b/>
        <w:bCs/>
      </w:rPr>
      <w:tblPr/>
      <w:tcPr>
        <w:tcBorders>
          <w:top w:val="double" w:sz="2" w:space="0" w:color="005A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2-Accent5">
    <w:name w:val="Grid Table 2 Accent 5"/>
    <w:basedOn w:val="TableNormal"/>
    <w:uiPriority w:val="47"/>
    <w:locked/>
    <w:rsid w:val="00095532"/>
    <w:pPr>
      <w:spacing w:line="240" w:lineRule="auto"/>
    </w:pPr>
    <w:tblPr>
      <w:tblStyleRowBandSize w:val="1"/>
      <w:tblStyleColBandSize w:val="1"/>
      <w:tblBorders>
        <w:top w:val="single" w:sz="2" w:space="0" w:color="C9C9C9" w:themeColor="accent5" w:themeTint="99"/>
        <w:bottom w:val="single" w:sz="2" w:space="0" w:color="C9C9C9" w:themeColor="accent5" w:themeTint="99"/>
        <w:insideH w:val="single" w:sz="2" w:space="0" w:color="C9C9C9" w:themeColor="accent5" w:themeTint="99"/>
        <w:insideV w:val="single" w:sz="2" w:space="0" w:color="C9C9C9" w:themeColor="accent5" w:themeTint="99"/>
      </w:tblBorders>
    </w:tblPr>
    <w:tblStylePr w:type="firstRow">
      <w:rPr>
        <w:b/>
        <w:bCs/>
      </w:rPr>
      <w:tblPr/>
      <w:tcPr>
        <w:tcBorders>
          <w:top w:val="nil"/>
          <w:bottom w:val="single" w:sz="12" w:space="0" w:color="C9C9C9" w:themeColor="accent5" w:themeTint="99"/>
          <w:insideH w:val="nil"/>
          <w:insideV w:val="nil"/>
        </w:tcBorders>
        <w:shd w:val="clear" w:color="auto" w:fill="FFFFFF" w:themeFill="background1"/>
      </w:tcPr>
    </w:tblStylePr>
    <w:tblStylePr w:type="lastRow">
      <w:rPr>
        <w:b/>
        <w:bCs/>
      </w:rPr>
      <w:tblPr/>
      <w:tcPr>
        <w:tcBorders>
          <w:top w:val="double" w:sz="2" w:space="0" w:color="C9C9C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2-Accent6">
    <w:name w:val="Grid Table 2 Accent 6"/>
    <w:basedOn w:val="TableNormal"/>
    <w:uiPriority w:val="47"/>
    <w:locked/>
    <w:rsid w:val="00095532"/>
    <w:pPr>
      <w:spacing w:line="240" w:lineRule="auto"/>
    </w:pPr>
    <w:tblPr>
      <w:tblStyleRowBandSize w:val="1"/>
      <w:tblStyleColBandSize w:val="1"/>
      <w:tblBorders>
        <w:top w:val="single" w:sz="2" w:space="0" w:color="DEDEDE" w:themeColor="accent6" w:themeTint="99"/>
        <w:bottom w:val="single" w:sz="2" w:space="0" w:color="DEDEDE" w:themeColor="accent6" w:themeTint="99"/>
        <w:insideH w:val="single" w:sz="2" w:space="0" w:color="DEDEDE" w:themeColor="accent6" w:themeTint="99"/>
        <w:insideV w:val="single" w:sz="2" w:space="0" w:color="DEDEDE" w:themeColor="accent6" w:themeTint="99"/>
      </w:tblBorders>
    </w:tblPr>
    <w:tblStylePr w:type="firstRow">
      <w:rPr>
        <w:b/>
        <w:bCs/>
      </w:rPr>
      <w:tblPr/>
      <w:tcPr>
        <w:tcBorders>
          <w:top w:val="nil"/>
          <w:bottom w:val="single" w:sz="12" w:space="0" w:color="DEDEDE" w:themeColor="accent6" w:themeTint="99"/>
          <w:insideH w:val="nil"/>
          <w:insideV w:val="nil"/>
        </w:tcBorders>
        <w:shd w:val="clear" w:color="auto" w:fill="FFFFFF" w:themeFill="background1"/>
      </w:tcPr>
    </w:tblStylePr>
    <w:tblStylePr w:type="lastRow">
      <w:rPr>
        <w:b/>
        <w:bCs/>
      </w:rPr>
      <w:tblPr/>
      <w:tcPr>
        <w:tcBorders>
          <w:top w:val="double" w:sz="2" w:space="0" w:color="DEDED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3">
    <w:name w:val="Grid Table 3"/>
    <w:basedOn w:val="TableNormal"/>
    <w:uiPriority w:val="48"/>
    <w:locked/>
    <w:rsid w:val="0009553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095532"/>
    <w:pPr>
      <w:spacing w:line="240" w:lineRule="auto"/>
    </w:p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3-Accent2">
    <w:name w:val="Grid Table 3 Accent 2"/>
    <w:basedOn w:val="TableNormal"/>
    <w:uiPriority w:val="48"/>
    <w:locked/>
    <w:rsid w:val="00095532"/>
    <w:pPr>
      <w:spacing w:line="240" w:lineRule="auto"/>
    </w:p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3-Accent3">
    <w:name w:val="Grid Table 3 Accent 3"/>
    <w:basedOn w:val="TableNormal"/>
    <w:uiPriority w:val="48"/>
    <w:locked/>
    <w:rsid w:val="00095532"/>
    <w:pPr>
      <w:spacing w:line="240" w:lineRule="auto"/>
    </w:p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3-Accent4">
    <w:name w:val="Grid Table 3 Accent 4"/>
    <w:basedOn w:val="TableNormal"/>
    <w:uiPriority w:val="48"/>
    <w:locked/>
    <w:rsid w:val="00095532"/>
    <w:pPr>
      <w:spacing w:line="240" w:lineRule="auto"/>
    </w:p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3-Accent5">
    <w:name w:val="Grid Table 3 Accent 5"/>
    <w:basedOn w:val="TableNormal"/>
    <w:uiPriority w:val="48"/>
    <w:locked/>
    <w:rsid w:val="00095532"/>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3-Accent6">
    <w:name w:val="Grid Table 3 Accent 6"/>
    <w:basedOn w:val="TableNormal"/>
    <w:uiPriority w:val="48"/>
    <w:locked/>
    <w:rsid w:val="00095532"/>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table" w:styleId="GridTable4">
    <w:name w:val="Grid Table 4"/>
    <w:basedOn w:val="TableNormal"/>
    <w:uiPriority w:val="49"/>
    <w:locked/>
    <w:rsid w:val="0009553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095532"/>
    <w:pPr>
      <w:spacing w:line="240" w:lineRule="auto"/>
    </w:p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insideV w:val="nil"/>
        </w:tcBorders>
        <w:shd w:val="clear" w:color="auto" w:fill="231EDC" w:themeFill="accent1"/>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4-Accent2">
    <w:name w:val="Grid Table 4 Accent 2"/>
    <w:basedOn w:val="TableNormal"/>
    <w:uiPriority w:val="49"/>
    <w:locked/>
    <w:rsid w:val="00095532"/>
    <w:pPr>
      <w:spacing w:line="240" w:lineRule="auto"/>
    </w:p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insideV w:val="nil"/>
        </w:tcBorders>
        <w:shd w:val="clear" w:color="auto" w:fill="0A7DFF" w:themeFill="accent2"/>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4-Accent3">
    <w:name w:val="Grid Table 4 Accent 3"/>
    <w:basedOn w:val="TableNormal"/>
    <w:uiPriority w:val="49"/>
    <w:locked/>
    <w:rsid w:val="00095532"/>
    <w:pPr>
      <w:spacing w:line="240" w:lineRule="auto"/>
    </w:p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insideV w:val="nil"/>
        </w:tcBorders>
        <w:shd w:val="clear" w:color="auto" w:fill="5AE6FF" w:themeFill="accent3"/>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4-Accent4">
    <w:name w:val="Grid Table 4 Accent 4"/>
    <w:basedOn w:val="TableNormal"/>
    <w:uiPriority w:val="49"/>
    <w:locked/>
    <w:rsid w:val="00095532"/>
    <w:pPr>
      <w:spacing w:line="240" w:lineRule="auto"/>
    </w:p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insideV w:val="nil"/>
        </w:tcBorders>
        <w:shd w:val="clear" w:color="auto" w:fill="001E55" w:themeFill="accent4"/>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4-Accent5">
    <w:name w:val="Grid Table 4 Accent 5"/>
    <w:basedOn w:val="TableNormal"/>
    <w:uiPriority w:val="49"/>
    <w:locked/>
    <w:rsid w:val="00095532"/>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insideV w:val="nil"/>
        </w:tcBorders>
        <w:shd w:val="clear" w:color="auto" w:fill="A5A5A5" w:themeFill="accent5"/>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5Dark">
    <w:name w:val="Grid Table 5 Dark"/>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1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ED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ED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ED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EDC" w:themeFill="accent1"/>
      </w:tcPr>
    </w:tblStylePr>
    <w:tblStylePr w:type="band1Vert">
      <w:tblPr/>
      <w:tcPr>
        <w:shd w:val="clear" w:color="auto" w:fill="A5A3F2" w:themeFill="accent1" w:themeFillTint="66"/>
      </w:tcPr>
    </w:tblStylePr>
    <w:tblStylePr w:type="band1Horz">
      <w:tblPr/>
      <w:tcPr>
        <w:shd w:val="clear" w:color="auto" w:fill="A5A3F2" w:themeFill="accent1" w:themeFillTint="66"/>
      </w:tcPr>
    </w:tblStylePr>
  </w:style>
  <w:style w:type="table" w:styleId="GridTable5Dark-Accent2">
    <w:name w:val="Grid Table 5 Dark Accent 2"/>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7D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7D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7D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7DFF" w:themeFill="accent2"/>
      </w:tcPr>
    </w:tblStylePr>
    <w:tblStylePr w:type="band1Vert">
      <w:tblPr/>
      <w:tcPr>
        <w:shd w:val="clear" w:color="auto" w:fill="9DCAFF" w:themeFill="accent2" w:themeFillTint="66"/>
      </w:tcPr>
    </w:tblStylePr>
    <w:tblStylePr w:type="band1Horz">
      <w:tblPr/>
      <w:tcPr>
        <w:shd w:val="clear" w:color="auto" w:fill="9DCAFF" w:themeFill="accent2" w:themeFillTint="66"/>
      </w:tcPr>
    </w:tblStylePr>
  </w:style>
  <w:style w:type="table" w:styleId="GridTable5Dark-Accent3">
    <w:name w:val="Grid Table 5 Dark Accent 3"/>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E6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E6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E6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E6FF" w:themeFill="accent3"/>
      </w:tcPr>
    </w:tblStylePr>
    <w:tblStylePr w:type="band1Vert">
      <w:tblPr/>
      <w:tcPr>
        <w:shd w:val="clear" w:color="auto" w:fill="BDF4FF" w:themeFill="accent3" w:themeFillTint="66"/>
      </w:tcPr>
    </w:tblStylePr>
    <w:tblStylePr w:type="band1Horz">
      <w:tblPr/>
      <w:tcPr>
        <w:shd w:val="clear" w:color="auto" w:fill="BDF4FF" w:themeFill="accent3" w:themeFillTint="66"/>
      </w:tcPr>
    </w:tblStylePr>
  </w:style>
  <w:style w:type="table" w:styleId="GridTable5Dark-Accent4">
    <w:name w:val="Grid Table 5 Dark Accent 4"/>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C8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E5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E5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E5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E55" w:themeFill="accent4"/>
      </w:tcPr>
    </w:tblStylePr>
    <w:tblStylePr w:type="band1Vert">
      <w:tblPr/>
      <w:tcPr>
        <w:shd w:val="clear" w:color="auto" w:fill="5591FF" w:themeFill="accent4" w:themeFillTint="66"/>
      </w:tcPr>
    </w:tblStylePr>
    <w:tblStylePr w:type="band1Horz">
      <w:tblPr/>
      <w:tcPr>
        <w:shd w:val="clear" w:color="auto" w:fill="5591FF" w:themeFill="accent4" w:themeFillTint="66"/>
      </w:tcPr>
    </w:tblStylePr>
  </w:style>
  <w:style w:type="table" w:styleId="GridTable5Dark-Accent5">
    <w:name w:val="Grid Table 5 Dark Accent 5"/>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5"/>
      </w:tcPr>
    </w:tblStylePr>
    <w:tblStylePr w:type="band1Vert">
      <w:tblPr/>
      <w:tcPr>
        <w:shd w:val="clear" w:color="auto" w:fill="DBDBDB" w:themeFill="accent5" w:themeFillTint="66"/>
      </w:tcPr>
    </w:tblStylePr>
    <w:tblStylePr w:type="band1Horz">
      <w:tblPr/>
      <w:tcPr>
        <w:shd w:val="clear" w:color="auto" w:fill="DBDBDB" w:themeFill="accent5" w:themeFillTint="66"/>
      </w:tcPr>
    </w:tblStylePr>
  </w:style>
  <w:style w:type="table" w:styleId="GridTable5Dark-Accent6">
    <w:name w:val="Grid Table 5 Dark Accent 6"/>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6"/>
      </w:tcPr>
    </w:tblStylePr>
    <w:tblStylePr w:type="band1Vert">
      <w:tblPr/>
      <w:tcPr>
        <w:shd w:val="clear" w:color="auto" w:fill="E9E9E9" w:themeFill="accent6" w:themeFillTint="66"/>
      </w:tcPr>
    </w:tblStylePr>
    <w:tblStylePr w:type="band1Horz">
      <w:tblPr/>
      <w:tcPr>
        <w:shd w:val="clear" w:color="auto" w:fill="E9E9E9" w:themeFill="accent6" w:themeFillTint="66"/>
      </w:tcPr>
    </w:tblStylePr>
  </w:style>
  <w:style w:type="table" w:styleId="GridTable6Colorful">
    <w:name w:val="Grid Table 6 Colorful"/>
    <w:basedOn w:val="TableNormal"/>
    <w:uiPriority w:val="51"/>
    <w:locked/>
    <w:rsid w:val="0009553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095532"/>
    <w:pPr>
      <w:spacing w:line="240" w:lineRule="auto"/>
    </w:pPr>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6Colorful-Accent2">
    <w:name w:val="Grid Table 6 Colorful Accent 2"/>
    <w:basedOn w:val="TableNormal"/>
    <w:uiPriority w:val="51"/>
    <w:locked/>
    <w:rsid w:val="00095532"/>
    <w:pPr>
      <w:spacing w:line="240" w:lineRule="auto"/>
    </w:pPr>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6Colorful-Accent3">
    <w:name w:val="Grid Table 6 Colorful Accent 3"/>
    <w:basedOn w:val="TableNormal"/>
    <w:uiPriority w:val="51"/>
    <w:locked/>
    <w:rsid w:val="00095532"/>
    <w:pPr>
      <w:spacing w:line="240" w:lineRule="auto"/>
    </w:pPr>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6Colorful-Accent4">
    <w:name w:val="Grid Table 6 Colorful Accent 4"/>
    <w:basedOn w:val="TableNormal"/>
    <w:uiPriority w:val="51"/>
    <w:locked/>
    <w:rsid w:val="00095532"/>
    <w:pPr>
      <w:spacing w:line="240" w:lineRule="auto"/>
    </w:pPr>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6Colorful-Accent5">
    <w:name w:val="Grid Table 6 Colorful Accent 5"/>
    <w:basedOn w:val="TableNormal"/>
    <w:uiPriority w:val="51"/>
    <w:locked/>
    <w:rsid w:val="00095532"/>
    <w:pPr>
      <w:spacing w:line="240" w:lineRule="auto"/>
    </w:pPr>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6Colorful-Accent6">
    <w:name w:val="Grid Table 6 Colorful Accent 6"/>
    <w:basedOn w:val="TableNormal"/>
    <w:uiPriority w:val="51"/>
    <w:locked/>
    <w:rsid w:val="00095532"/>
    <w:pPr>
      <w:spacing w:line="240" w:lineRule="auto"/>
    </w:pPr>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7Colorful">
    <w:name w:val="Grid Table 7 Colorful"/>
    <w:basedOn w:val="TableNormal"/>
    <w:uiPriority w:val="52"/>
    <w:locked/>
    <w:rsid w:val="0009553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095532"/>
    <w:pPr>
      <w:spacing w:line="240" w:lineRule="auto"/>
    </w:pPr>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7Colorful-Accent2">
    <w:name w:val="Grid Table 7 Colorful Accent 2"/>
    <w:basedOn w:val="TableNormal"/>
    <w:uiPriority w:val="52"/>
    <w:locked/>
    <w:rsid w:val="00095532"/>
    <w:pPr>
      <w:spacing w:line="240" w:lineRule="auto"/>
    </w:pPr>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7Colorful-Accent3">
    <w:name w:val="Grid Table 7 Colorful Accent 3"/>
    <w:basedOn w:val="TableNormal"/>
    <w:uiPriority w:val="52"/>
    <w:locked/>
    <w:rsid w:val="00095532"/>
    <w:pPr>
      <w:spacing w:line="240" w:lineRule="auto"/>
    </w:pPr>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7Colorful-Accent4">
    <w:name w:val="Grid Table 7 Colorful Accent 4"/>
    <w:basedOn w:val="TableNormal"/>
    <w:uiPriority w:val="52"/>
    <w:locked/>
    <w:rsid w:val="00095532"/>
    <w:pPr>
      <w:spacing w:line="240" w:lineRule="auto"/>
    </w:pPr>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7Colorful-Accent5">
    <w:name w:val="Grid Table 7 Colorful Accent 5"/>
    <w:basedOn w:val="TableNormal"/>
    <w:uiPriority w:val="52"/>
    <w:locked/>
    <w:rsid w:val="00095532"/>
    <w:pPr>
      <w:spacing w:line="240" w:lineRule="auto"/>
    </w:pPr>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7Colorful-Accent6">
    <w:name w:val="Grid Table 7 Colorful Accent 6"/>
    <w:basedOn w:val="TableNormal"/>
    <w:uiPriority w:val="52"/>
    <w:locked/>
    <w:rsid w:val="00095532"/>
    <w:pPr>
      <w:spacing w:line="240" w:lineRule="auto"/>
    </w:pPr>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character" w:styleId="Hashtag">
    <w:name w:val="Hashtag"/>
    <w:basedOn w:val="DefaultParagraphFont"/>
    <w:uiPriority w:val="99"/>
    <w:semiHidden/>
    <w:unhideWhenUsed/>
    <w:locked/>
    <w:rsid w:val="00095532"/>
    <w:rPr>
      <w:color w:val="2B579A"/>
      <w:shd w:val="clear" w:color="auto" w:fill="E6E6E6"/>
    </w:rPr>
  </w:style>
  <w:style w:type="character" w:styleId="HTMLAcronym">
    <w:name w:val="HTML Acronym"/>
    <w:basedOn w:val="DefaultParagraphFont"/>
    <w:uiPriority w:val="99"/>
    <w:semiHidden/>
    <w:unhideWhenUsed/>
    <w:locked/>
    <w:rsid w:val="00095532"/>
  </w:style>
  <w:style w:type="paragraph" w:styleId="HTMLAddress">
    <w:name w:val="HTML Address"/>
    <w:basedOn w:val="Normal"/>
    <w:link w:val="HTMLAddressChar"/>
    <w:uiPriority w:val="99"/>
    <w:semiHidden/>
    <w:unhideWhenUsed/>
    <w:locked/>
    <w:rsid w:val="00095532"/>
    <w:rPr>
      <w:i/>
      <w:iCs/>
    </w:rPr>
  </w:style>
  <w:style w:type="character" w:customStyle="1" w:styleId="HTMLAddressChar">
    <w:name w:val="HTML Address Char"/>
    <w:basedOn w:val="DefaultParagraphFont"/>
    <w:link w:val="HTMLAddress"/>
    <w:uiPriority w:val="99"/>
    <w:semiHidden/>
    <w:rsid w:val="00095532"/>
    <w:rPr>
      <w:i/>
      <w:iCs/>
    </w:rPr>
  </w:style>
  <w:style w:type="character" w:styleId="HTMLCite">
    <w:name w:val="HTML Cite"/>
    <w:basedOn w:val="DefaultParagraphFont"/>
    <w:uiPriority w:val="99"/>
    <w:semiHidden/>
    <w:unhideWhenUsed/>
    <w:locked/>
    <w:rsid w:val="00095532"/>
    <w:rPr>
      <w:i/>
      <w:iCs/>
    </w:rPr>
  </w:style>
  <w:style w:type="character" w:styleId="HTMLCode">
    <w:name w:val="HTML Code"/>
    <w:basedOn w:val="DefaultParagraphFont"/>
    <w:uiPriority w:val="99"/>
    <w:semiHidden/>
    <w:unhideWhenUsed/>
    <w:locked/>
    <w:rsid w:val="00095532"/>
    <w:rPr>
      <w:rFonts w:ascii="Consolas" w:hAnsi="Consolas"/>
      <w:sz w:val="20"/>
      <w:szCs w:val="20"/>
    </w:rPr>
  </w:style>
  <w:style w:type="character" w:styleId="HTMLDefinition">
    <w:name w:val="HTML Definition"/>
    <w:basedOn w:val="DefaultParagraphFont"/>
    <w:uiPriority w:val="99"/>
    <w:semiHidden/>
    <w:unhideWhenUsed/>
    <w:locked/>
    <w:rsid w:val="00095532"/>
    <w:rPr>
      <w:i/>
      <w:iCs/>
    </w:rPr>
  </w:style>
  <w:style w:type="character" w:styleId="HTMLKeyboard">
    <w:name w:val="HTML Keyboard"/>
    <w:basedOn w:val="DefaultParagraphFont"/>
    <w:uiPriority w:val="99"/>
    <w:semiHidden/>
    <w:unhideWhenUsed/>
    <w:locked/>
    <w:rsid w:val="00095532"/>
    <w:rPr>
      <w:rFonts w:ascii="Consolas" w:hAnsi="Consolas"/>
      <w:sz w:val="20"/>
      <w:szCs w:val="20"/>
    </w:rPr>
  </w:style>
  <w:style w:type="paragraph" w:styleId="HTMLPreformatted">
    <w:name w:val="HTML Preformatted"/>
    <w:basedOn w:val="Normal"/>
    <w:link w:val="HTMLPreformattedChar"/>
    <w:uiPriority w:val="99"/>
    <w:semiHidden/>
    <w:unhideWhenUsed/>
    <w:locked/>
    <w:rsid w:val="00095532"/>
    <w:rPr>
      <w:rFonts w:ascii="Consolas" w:hAnsi="Consolas"/>
    </w:rPr>
  </w:style>
  <w:style w:type="character" w:customStyle="1" w:styleId="HTMLPreformattedChar">
    <w:name w:val="HTML Preformatted Char"/>
    <w:basedOn w:val="DefaultParagraphFont"/>
    <w:link w:val="HTMLPreformatted"/>
    <w:uiPriority w:val="99"/>
    <w:semiHidden/>
    <w:rsid w:val="00095532"/>
    <w:rPr>
      <w:rFonts w:ascii="Consolas" w:hAnsi="Consolas"/>
    </w:rPr>
  </w:style>
  <w:style w:type="character" w:styleId="HTMLSample">
    <w:name w:val="HTML Sample"/>
    <w:basedOn w:val="DefaultParagraphFont"/>
    <w:uiPriority w:val="99"/>
    <w:semiHidden/>
    <w:unhideWhenUsed/>
    <w:locked/>
    <w:rsid w:val="00095532"/>
    <w:rPr>
      <w:rFonts w:ascii="Consolas" w:hAnsi="Consolas"/>
      <w:sz w:val="24"/>
      <w:szCs w:val="24"/>
    </w:rPr>
  </w:style>
  <w:style w:type="character" w:styleId="HTMLTypewriter">
    <w:name w:val="HTML Typewriter"/>
    <w:basedOn w:val="DefaultParagraphFont"/>
    <w:uiPriority w:val="99"/>
    <w:semiHidden/>
    <w:unhideWhenUsed/>
    <w:locked/>
    <w:rsid w:val="00095532"/>
    <w:rPr>
      <w:rFonts w:ascii="Consolas" w:hAnsi="Consolas"/>
      <w:sz w:val="20"/>
      <w:szCs w:val="20"/>
    </w:rPr>
  </w:style>
  <w:style w:type="character" w:styleId="HTMLVariable">
    <w:name w:val="HTML Variable"/>
    <w:basedOn w:val="DefaultParagraphFont"/>
    <w:uiPriority w:val="99"/>
    <w:semiHidden/>
    <w:unhideWhenUsed/>
    <w:locked/>
    <w:rsid w:val="00095532"/>
    <w:rPr>
      <w:i/>
      <w:iCs/>
    </w:rPr>
  </w:style>
  <w:style w:type="paragraph" w:styleId="Index1">
    <w:name w:val="index 1"/>
    <w:basedOn w:val="Normal"/>
    <w:next w:val="Normal"/>
    <w:autoRedefine/>
    <w:uiPriority w:val="99"/>
    <w:semiHidden/>
    <w:unhideWhenUsed/>
    <w:locked/>
    <w:rsid w:val="00095532"/>
    <w:pPr>
      <w:ind w:left="220" w:hanging="220"/>
    </w:pPr>
  </w:style>
  <w:style w:type="paragraph" w:styleId="Index2">
    <w:name w:val="index 2"/>
    <w:basedOn w:val="Normal"/>
    <w:next w:val="Normal"/>
    <w:autoRedefine/>
    <w:uiPriority w:val="99"/>
    <w:semiHidden/>
    <w:unhideWhenUsed/>
    <w:locked/>
    <w:rsid w:val="00095532"/>
    <w:pPr>
      <w:ind w:left="440" w:hanging="220"/>
    </w:pPr>
  </w:style>
  <w:style w:type="paragraph" w:styleId="Index3">
    <w:name w:val="index 3"/>
    <w:basedOn w:val="Normal"/>
    <w:next w:val="Normal"/>
    <w:autoRedefine/>
    <w:uiPriority w:val="99"/>
    <w:semiHidden/>
    <w:unhideWhenUsed/>
    <w:locked/>
    <w:rsid w:val="00095532"/>
    <w:pPr>
      <w:ind w:left="660" w:hanging="220"/>
    </w:pPr>
  </w:style>
  <w:style w:type="paragraph" w:styleId="Index4">
    <w:name w:val="index 4"/>
    <w:basedOn w:val="Normal"/>
    <w:next w:val="Normal"/>
    <w:autoRedefine/>
    <w:uiPriority w:val="99"/>
    <w:semiHidden/>
    <w:unhideWhenUsed/>
    <w:locked/>
    <w:rsid w:val="00095532"/>
    <w:pPr>
      <w:ind w:left="880" w:hanging="220"/>
    </w:pPr>
  </w:style>
  <w:style w:type="paragraph" w:styleId="Index5">
    <w:name w:val="index 5"/>
    <w:basedOn w:val="Normal"/>
    <w:next w:val="Normal"/>
    <w:autoRedefine/>
    <w:uiPriority w:val="99"/>
    <w:semiHidden/>
    <w:unhideWhenUsed/>
    <w:locked/>
    <w:rsid w:val="00095532"/>
    <w:pPr>
      <w:ind w:left="1100" w:hanging="220"/>
    </w:pPr>
  </w:style>
  <w:style w:type="paragraph" w:styleId="Index6">
    <w:name w:val="index 6"/>
    <w:basedOn w:val="Normal"/>
    <w:next w:val="Normal"/>
    <w:autoRedefine/>
    <w:uiPriority w:val="99"/>
    <w:semiHidden/>
    <w:unhideWhenUsed/>
    <w:locked/>
    <w:rsid w:val="00095532"/>
    <w:pPr>
      <w:ind w:left="1320" w:hanging="220"/>
    </w:pPr>
  </w:style>
  <w:style w:type="paragraph" w:styleId="Index7">
    <w:name w:val="index 7"/>
    <w:basedOn w:val="Normal"/>
    <w:next w:val="Normal"/>
    <w:autoRedefine/>
    <w:uiPriority w:val="99"/>
    <w:semiHidden/>
    <w:unhideWhenUsed/>
    <w:locked/>
    <w:rsid w:val="00095532"/>
    <w:pPr>
      <w:ind w:left="1540" w:hanging="220"/>
    </w:pPr>
  </w:style>
  <w:style w:type="paragraph" w:styleId="Index8">
    <w:name w:val="index 8"/>
    <w:basedOn w:val="Normal"/>
    <w:next w:val="Normal"/>
    <w:autoRedefine/>
    <w:uiPriority w:val="99"/>
    <w:semiHidden/>
    <w:unhideWhenUsed/>
    <w:locked/>
    <w:rsid w:val="00095532"/>
    <w:pPr>
      <w:ind w:left="1760" w:hanging="220"/>
    </w:pPr>
  </w:style>
  <w:style w:type="paragraph" w:styleId="Index9">
    <w:name w:val="index 9"/>
    <w:basedOn w:val="Normal"/>
    <w:next w:val="Normal"/>
    <w:autoRedefine/>
    <w:uiPriority w:val="99"/>
    <w:semiHidden/>
    <w:unhideWhenUsed/>
    <w:locked/>
    <w:rsid w:val="00095532"/>
    <w:pPr>
      <w:ind w:left="1980" w:hanging="220"/>
    </w:pPr>
  </w:style>
  <w:style w:type="paragraph" w:styleId="IndexHeading">
    <w:name w:val="index heading"/>
    <w:basedOn w:val="Normal"/>
    <w:next w:val="Index1"/>
    <w:uiPriority w:val="99"/>
    <w:semiHidden/>
    <w:unhideWhenUsed/>
    <w:locked/>
    <w:rsid w:val="00095532"/>
    <w:rPr>
      <w:rFonts w:eastAsiaTheme="majorEastAsia" w:cstheme="majorBidi"/>
      <w:b/>
      <w:bCs/>
    </w:rPr>
  </w:style>
  <w:style w:type="character" w:styleId="IntenseEmphasis">
    <w:name w:val="Intense Emphasis"/>
    <w:basedOn w:val="DefaultParagraphFont"/>
    <w:uiPriority w:val="99"/>
    <w:semiHidden/>
    <w:qFormat/>
    <w:locked/>
    <w:rsid w:val="00095532"/>
    <w:rPr>
      <w:i/>
      <w:iCs/>
      <w:color w:val="231EDC" w:themeColor="accent1"/>
    </w:rPr>
  </w:style>
  <w:style w:type="paragraph" w:styleId="IntenseQuote">
    <w:name w:val="Intense Quote"/>
    <w:basedOn w:val="Normal"/>
    <w:next w:val="Normal"/>
    <w:link w:val="IntenseQuoteChar"/>
    <w:uiPriority w:val="99"/>
    <w:semiHidden/>
    <w:qFormat/>
    <w:locked/>
    <w:rsid w:val="00095532"/>
    <w:pPr>
      <w:pBdr>
        <w:top w:val="single" w:sz="4" w:space="10" w:color="231EDC" w:themeColor="accent1"/>
        <w:bottom w:val="single" w:sz="4" w:space="10" w:color="231EDC" w:themeColor="accent1"/>
      </w:pBdr>
      <w:spacing w:before="360" w:after="360"/>
      <w:ind w:left="864" w:right="864"/>
      <w:jc w:val="center"/>
    </w:pPr>
    <w:rPr>
      <w:i/>
      <w:iCs/>
      <w:color w:val="231EDC" w:themeColor="accent1"/>
    </w:rPr>
  </w:style>
  <w:style w:type="character" w:customStyle="1" w:styleId="IntenseQuoteChar">
    <w:name w:val="Intense Quote Char"/>
    <w:basedOn w:val="DefaultParagraphFont"/>
    <w:link w:val="IntenseQuote"/>
    <w:uiPriority w:val="30"/>
    <w:semiHidden/>
    <w:rsid w:val="00095532"/>
    <w:rPr>
      <w:i/>
      <w:iCs/>
      <w:color w:val="231EDC" w:themeColor="accent1"/>
    </w:rPr>
  </w:style>
  <w:style w:type="character" w:styleId="IntenseReference">
    <w:name w:val="Intense Reference"/>
    <w:basedOn w:val="DefaultParagraphFont"/>
    <w:uiPriority w:val="99"/>
    <w:semiHidden/>
    <w:qFormat/>
    <w:locked/>
    <w:rsid w:val="00095532"/>
    <w:rPr>
      <w:b/>
      <w:bCs/>
      <w:smallCaps/>
      <w:color w:val="231EDC" w:themeColor="accent1"/>
      <w:spacing w:val="5"/>
    </w:rPr>
  </w:style>
  <w:style w:type="table" w:styleId="LightGrid">
    <w:name w:val="Light Grid"/>
    <w:basedOn w:val="TableNormal"/>
    <w:uiPriority w:val="62"/>
    <w:semiHidden/>
    <w:unhideWhenUsed/>
    <w:locked/>
    <w:rsid w:val="0009553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locked/>
    <w:rsid w:val="00095532"/>
    <w:pPr>
      <w:spacing w:line="240" w:lineRule="auto"/>
    </w:p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18" w:space="0" w:color="231EDC" w:themeColor="accent1"/>
          <w:right w:val="single" w:sz="8" w:space="0" w:color="231EDC" w:themeColor="accent1"/>
          <w:insideH w:val="nil"/>
          <w:insideV w:val="single" w:sz="8" w:space="0" w:color="231E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insideH w:val="nil"/>
          <w:insideV w:val="single" w:sz="8" w:space="0" w:color="231E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shd w:val="clear" w:color="auto" w:fill="C7C6F7" w:themeFill="accent1" w:themeFillTint="3F"/>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shd w:val="clear" w:color="auto" w:fill="C7C6F7" w:themeFill="accent1" w:themeFillTint="3F"/>
      </w:tcPr>
    </w:tblStylePr>
    <w:tblStylePr w:type="band2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tcPr>
    </w:tblStylePr>
  </w:style>
  <w:style w:type="table" w:styleId="LightGrid-Accent2">
    <w:name w:val="Light Grid Accent 2"/>
    <w:basedOn w:val="TableNormal"/>
    <w:uiPriority w:val="62"/>
    <w:semiHidden/>
    <w:unhideWhenUsed/>
    <w:locked/>
    <w:rsid w:val="00095532"/>
    <w:pPr>
      <w:spacing w:line="240" w:lineRule="auto"/>
    </w:p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18" w:space="0" w:color="0A7DFF" w:themeColor="accent2"/>
          <w:right w:val="single" w:sz="8" w:space="0" w:color="0A7DFF" w:themeColor="accent2"/>
          <w:insideH w:val="nil"/>
          <w:insideV w:val="single" w:sz="8" w:space="0" w:color="0A7DF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insideH w:val="nil"/>
          <w:insideV w:val="single" w:sz="8" w:space="0" w:color="0A7DF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shd w:val="clear" w:color="auto" w:fill="C2DEFF" w:themeFill="accent2" w:themeFillTint="3F"/>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shd w:val="clear" w:color="auto" w:fill="C2DEFF" w:themeFill="accent2" w:themeFillTint="3F"/>
      </w:tcPr>
    </w:tblStylePr>
    <w:tblStylePr w:type="band2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tcPr>
    </w:tblStylePr>
  </w:style>
  <w:style w:type="table" w:styleId="LightGrid-Accent3">
    <w:name w:val="Light Grid Accent 3"/>
    <w:basedOn w:val="TableNormal"/>
    <w:uiPriority w:val="62"/>
    <w:semiHidden/>
    <w:unhideWhenUsed/>
    <w:locked/>
    <w:rsid w:val="00095532"/>
    <w:pPr>
      <w:spacing w:line="240" w:lineRule="auto"/>
    </w:p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18" w:space="0" w:color="5AE6FF" w:themeColor="accent3"/>
          <w:right w:val="single" w:sz="8" w:space="0" w:color="5AE6FF" w:themeColor="accent3"/>
          <w:insideH w:val="nil"/>
          <w:insideV w:val="single" w:sz="8" w:space="0" w:color="5AE6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insideH w:val="nil"/>
          <w:insideV w:val="single" w:sz="8" w:space="0" w:color="5AE6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shd w:val="clear" w:color="auto" w:fill="D6F8FF" w:themeFill="accent3" w:themeFillTint="3F"/>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shd w:val="clear" w:color="auto" w:fill="D6F8FF" w:themeFill="accent3" w:themeFillTint="3F"/>
      </w:tcPr>
    </w:tblStylePr>
    <w:tblStylePr w:type="band2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tcPr>
    </w:tblStylePr>
  </w:style>
  <w:style w:type="table" w:styleId="LightGrid-Accent4">
    <w:name w:val="Light Grid Accent 4"/>
    <w:basedOn w:val="TableNormal"/>
    <w:uiPriority w:val="62"/>
    <w:semiHidden/>
    <w:unhideWhenUsed/>
    <w:locked/>
    <w:rsid w:val="00095532"/>
    <w:pPr>
      <w:spacing w:line="240" w:lineRule="auto"/>
    </w:p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18" w:space="0" w:color="001E55" w:themeColor="accent4"/>
          <w:right w:val="single" w:sz="8" w:space="0" w:color="001E55" w:themeColor="accent4"/>
          <w:insideH w:val="nil"/>
          <w:insideV w:val="single" w:sz="8" w:space="0" w:color="001E5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insideH w:val="nil"/>
          <w:insideV w:val="single" w:sz="8" w:space="0" w:color="001E5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shd w:val="clear" w:color="auto" w:fill="96BBFF" w:themeFill="accent4" w:themeFillTint="3F"/>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shd w:val="clear" w:color="auto" w:fill="96BBFF" w:themeFill="accent4" w:themeFillTint="3F"/>
      </w:tcPr>
    </w:tblStylePr>
    <w:tblStylePr w:type="band2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tcPr>
    </w:tblStylePr>
  </w:style>
  <w:style w:type="table" w:styleId="LightGrid-Accent5">
    <w:name w:val="Light Grid Accent 5"/>
    <w:basedOn w:val="TableNormal"/>
    <w:uiPriority w:val="62"/>
    <w:semiHidden/>
    <w:unhideWhenUsed/>
    <w:locked/>
    <w:rsid w:val="00095532"/>
    <w:pPr>
      <w:spacing w:line="240" w:lineRule="auto"/>
    </w:p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18" w:space="0" w:color="A5A5A5" w:themeColor="accent5"/>
          <w:right w:val="single" w:sz="8" w:space="0" w:color="A5A5A5" w:themeColor="accent5"/>
          <w:insideH w:val="nil"/>
          <w:insideV w:val="single" w:sz="8" w:space="0" w:color="A5A5A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insideH w:val="nil"/>
          <w:insideV w:val="single" w:sz="8" w:space="0" w:color="A5A5A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shd w:val="clear" w:color="auto" w:fill="E8E8E8" w:themeFill="accent5" w:themeFillTint="3F"/>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shd w:val="clear" w:color="auto" w:fill="E8E8E8" w:themeFill="accent5" w:themeFillTint="3F"/>
      </w:tcPr>
    </w:tblStylePr>
    <w:tblStylePr w:type="band2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tcPr>
    </w:tblStylePr>
  </w:style>
  <w:style w:type="table" w:styleId="LightGrid-Accent6">
    <w:name w:val="Light Grid Accent 6"/>
    <w:basedOn w:val="TableNormal"/>
    <w:uiPriority w:val="62"/>
    <w:semiHidden/>
    <w:unhideWhenUsed/>
    <w:locked/>
    <w:rsid w:val="00095532"/>
    <w:pPr>
      <w:spacing w:line="240" w:lineRule="auto"/>
    </w:p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18" w:space="0" w:color="C8C8C8" w:themeColor="accent6"/>
          <w:right w:val="single" w:sz="8" w:space="0" w:color="C8C8C8" w:themeColor="accent6"/>
          <w:insideH w:val="nil"/>
          <w:insideV w:val="single" w:sz="8" w:space="0" w:color="C8C8C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insideH w:val="nil"/>
          <w:insideV w:val="single" w:sz="8" w:space="0" w:color="C8C8C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shd w:val="clear" w:color="auto" w:fill="F1F1F1" w:themeFill="accent6" w:themeFillTint="3F"/>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shd w:val="clear" w:color="auto" w:fill="F1F1F1" w:themeFill="accent6" w:themeFillTint="3F"/>
      </w:tcPr>
    </w:tblStylePr>
    <w:tblStylePr w:type="band2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tcPr>
    </w:tblStylePr>
  </w:style>
  <w:style w:type="table" w:styleId="LightList">
    <w:name w:val="Light List"/>
    <w:basedOn w:val="TableNormal"/>
    <w:uiPriority w:val="61"/>
    <w:semiHidden/>
    <w:unhideWhenUsed/>
    <w:locked/>
    <w:rsid w:val="0009553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locked/>
    <w:rsid w:val="00095532"/>
    <w:pPr>
      <w:spacing w:line="240" w:lineRule="auto"/>
    </w:p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pPr>
        <w:spacing w:before="0" w:after="0" w:line="240" w:lineRule="auto"/>
      </w:pPr>
      <w:rPr>
        <w:b/>
        <w:bCs/>
        <w:color w:val="FFFFFF" w:themeColor="background1"/>
      </w:rPr>
      <w:tblPr/>
      <w:tcPr>
        <w:shd w:val="clear" w:color="auto" w:fill="231EDC" w:themeFill="accent1"/>
      </w:tcPr>
    </w:tblStylePr>
    <w:tblStylePr w:type="lastRow">
      <w:pPr>
        <w:spacing w:before="0" w:after="0" w:line="240" w:lineRule="auto"/>
      </w:pPr>
      <w:rPr>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tcBorders>
      </w:tcPr>
    </w:tblStylePr>
    <w:tblStylePr w:type="firstCol">
      <w:rPr>
        <w:b/>
        <w:bCs/>
      </w:rPr>
    </w:tblStylePr>
    <w:tblStylePr w:type="lastCol">
      <w:rPr>
        <w:b/>
        <w:bCs/>
      </w:r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style>
  <w:style w:type="table" w:styleId="LightList-Accent2">
    <w:name w:val="Light List Accent 2"/>
    <w:basedOn w:val="TableNormal"/>
    <w:uiPriority w:val="61"/>
    <w:semiHidden/>
    <w:unhideWhenUsed/>
    <w:locked/>
    <w:rsid w:val="00095532"/>
    <w:pPr>
      <w:spacing w:line="240" w:lineRule="auto"/>
    </w:p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pPr>
        <w:spacing w:before="0" w:after="0" w:line="240" w:lineRule="auto"/>
      </w:pPr>
      <w:rPr>
        <w:b/>
        <w:bCs/>
        <w:color w:val="FFFFFF" w:themeColor="background1"/>
      </w:rPr>
      <w:tblPr/>
      <w:tcPr>
        <w:shd w:val="clear" w:color="auto" w:fill="0A7DFF" w:themeFill="accent2"/>
      </w:tcPr>
    </w:tblStylePr>
    <w:tblStylePr w:type="lastRow">
      <w:pPr>
        <w:spacing w:before="0" w:after="0" w:line="240" w:lineRule="auto"/>
      </w:pPr>
      <w:rPr>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tcBorders>
      </w:tcPr>
    </w:tblStylePr>
    <w:tblStylePr w:type="firstCol">
      <w:rPr>
        <w:b/>
        <w:bCs/>
      </w:rPr>
    </w:tblStylePr>
    <w:tblStylePr w:type="lastCol">
      <w:rPr>
        <w:b/>
        <w:bCs/>
      </w:r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style>
  <w:style w:type="table" w:styleId="LightList-Accent3">
    <w:name w:val="Light List Accent 3"/>
    <w:basedOn w:val="TableNormal"/>
    <w:uiPriority w:val="61"/>
    <w:semiHidden/>
    <w:unhideWhenUsed/>
    <w:locked/>
    <w:rsid w:val="00095532"/>
    <w:pPr>
      <w:spacing w:line="240" w:lineRule="auto"/>
    </w:p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pPr>
        <w:spacing w:before="0" w:after="0" w:line="240" w:lineRule="auto"/>
      </w:pPr>
      <w:rPr>
        <w:b/>
        <w:bCs/>
        <w:color w:val="FFFFFF" w:themeColor="background1"/>
      </w:rPr>
      <w:tblPr/>
      <w:tcPr>
        <w:shd w:val="clear" w:color="auto" w:fill="5AE6FF" w:themeFill="accent3"/>
      </w:tcPr>
    </w:tblStylePr>
    <w:tblStylePr w:type="lastRow">
      <w:pPr>
        <w:spacing w:before="0" w:after="0" w:line="240" w:lineRule="auto"/>
      </w:pPr>
      <w:rPr>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tcBorders>
      </w:tcPr>
    </w:tblStylePr>
    <w:tblStylePr w:type="firstCol">
      <w:rPr>
        <w:b/>
        <w:bCs/>
      </w:rPr>
    </w:tblStylePr>
    <w:tblStylePr w:type="lastCol">
      <w:rPr>
        <w:b/>
        <w:bCs/>
      </w:r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style>
  <w:style w:type="table" w:styleId="LightList-Accent4">
    <w:name w:val="Light List Accent 4"/>
    <w:basedOn w:val="TableNormal"/>
    <w:uiPriority w:val="61"/>
    <w:semiHidden/>
    <w:unhideWhenUsed/>
    <w:locked/>
    <w:rsid w:val="00095532"/>
    <w:pPr>
      <w:spacing w:line="240" w:lineRule="auto"/>
    </w:p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pPr>
        <w:spacing w:before="0" w:after="0" w:line="240" w:lineRule="auto"/>
      </w:pPr>
      <w:rPr>
        <w:b/>
        <w:bCs/>
        <w:color w:val="FFFFFF" w:themeColor="background1"/>
      </w:rPr>
      <w:tblPr/>
      <w:tcPr>
        <w:shd w:val="clear" w:color="auto" w:fill="001E55" w:themeFill="accent4"/>
      </w:tcPr>
    </w:tblStylePr>
    <w:tblStylePr w:type="lastRow">
      <w:pPr>
        <w:spacing w:before="0" w:after="0" w:line="240" w:lineRule="auto"/>
      </w:pPr>
      <w:rPr>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tcBorders>
      </w:tcPr>
    </w:tblStylePr>
    <w:tblStylePr w:type="firstCol">
      <w:rPr>
        <w:b/>
        <w:bCs/>
      </w:rPr>
    </w:tblStylePr>
    <w:tblStylePr w:type="lastCol">
      <w:rPr>
        <w:b/>
        <w:bCs/>
      </w:r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style>
  <w:style w:type="table" w:styleId="LightList-Accent5">
    <w:name w:val="Light List Accent 5"/>
    <w:basedOn w:val="TableNormal"/>
    <w:uiPriority w:val="61"/>
    <w:semiHidden/>
    <w:unhideWhenUsed/>
    <w:locked/>
    <w:rsid w:val="00095532"/>
    <w:pPr>
      <w:spacing w:line="240" w:lineRule="auto"/>
    </w:p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pPr>
        <w:spacing w:before="0" w:after="0" w:line="240" w:lineRule="auto"/>
      </w:pPr>
      <w:rPr>
        <w:b/>
        <w:bCs/>
        <w:color w:val="FFFFFF" w:themeColor="background1"/>
      </w:rPr>
      <w:tblPr/>
      <w:tcPr>
        <w:shd w:val="clear" w:color="auto" w:fill="A5A5A5" w:themeFill="accent5"/>
      </w:tcPr>
    </w:tblStylePr>
    <w:tblStylePr w:type="lastRow">
      <w:pPr>
        <w:spacing w:before="0" w:after="0" w:line="240" w:lineRule="auto"/>
      </w:pPr>
      <w:rPr>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tcBorders>
      </w:tcPr>
    </w:tblStylePr>
    <w:tblStylePr w:type="firstCol">
      <w:rPr>
        <w:b/>
        <w:bCs/>
      </w:rPr>
    </w:tblStylePr>
    <w:tblStylePr w:type="lastCol">
      <w:rPr>
        <w:b/>
        <w:bCs/>
      </w:r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style>
  <w:style w:type="table" w:styleId="LightList-Accent6">
    <w:name w:val="Light List Accent 6"/>
    <w:basedOn w:val="TableNormal"/>
    <w:uiPriority w:val="61"/>
    <w:semiHidden/>
    <w:unhideWhenUsed/>
    <w:locked/>
    <w:rsid w:val="00095532"/>
    <w:pPr>
      <w:spacing w:line="240" w:lineRule="auto"/>
    </w:p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pPr>
        <w:spacing w:before="0" w:after="0" w:line="240" w:lineRule="auto"/>
      </w:pPr>
      <w:rPr>
        <w:b/>
        <w:bCs/>
        <w:color w:val="FFFFFF" w:themeColor="background1"/>
      </w:rPr>
      <w:tblPr/>
      <w:tcPr>
        <w:shd w:val="clear" w:color="auto" w:fill="C8C8C8" w:themeFill="accent6"/>
      </w:tcPr>
    </w:tblStylePr>
    <w:tblStylePr w:type="lastRow">
      <w:pPr>
        <w:spacing w:before="0" w:after="0" w:line="240" w:lineRule="auto"/>
      </w:pPr>
      <w:rPr>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tcBorders>
      </w:tcPr>
    </w:tblStylePr>
    <w:tblStylePr w:type="firstCol">
      <w:rPr>
        <w:b/>
        <w:bCs/>
      </w:rPr>
    </w:tblStylePr>
    <w:tblStylePr w:type="lastCol">
      <w:rPr>
        <w:b/>
        <w:bCs/>
      </w:r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style>
  <w:style w:type="table" w:styleId="LightShading">
    <w:name w:val="Light Shading"/>
    <w:basedOn w:val="TableNormal"/>
    <w:uiPriority w:val="60"/>
    <w:semiHidden/>
    <w:unhideWhenUsed/>
    <w:locked/>
    <w:rsid w:val="00095532"/>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095532"/>
    <w:pPr>
      <w:spacing w:line="240" w:lineRule="auto"/>
    </w:pPr>
    <w:rPr>
      <w:color w:val="1916A4" w:themeColor="accent1" w:themeShade="BF"/>
    </w:rPr>
    <w:tblPr>
      <w:tblStyleRowBandSize w:val="1"/>
      <w:tblStyleColBandSize w:val="1"/>
      <w:tblBorders>
        <w:top w:val="single" w:sz="8" w:space="0" w:color="231EDC" w:themeColor="accent1"/>
        <w:bottom w:val="single" w:sz="8" w:space="0" w:color="231EDC" w:themeColor="accent1"/>
      </w:tblBorders>
    </w:tblPr>
    <w:tblStylePr w:type="fir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la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left w:val="nil"/>
          <w:right w:val="nil"/>
          <w:insideH w:val="nil"/>
          <w:insideV w:val="nil"/>
        </w:tcBorders>
        <w:shd w:val="clear" w:color="auto" w:fill="C7C6F7" w:themeFill="accent1" w:themeFillTint="3F"/>
      </w:tcPr>
    </w:tblStylePr>
  </w:style>
  <w:style w:type="table" w:styleId="LightShading-Accent2">
    <w:name w:val="Light Shading Accent 2"/>
    <w:basedOn w:val="TableNormal"/>
    <w:uiPriority w:val="60"/>
    <w:semiHidden/>
    <w:unhideWhenUsed/>
    <w:locked/>
    <w:rsid w:val="00095532"/>
    <w:pPr>
      <w:spacing w:line="240" w:lineRule="auto"/>
    </w:pPr>
    <w:rPr>
      <w:color w:val="005CC6" w:themeColor="accent2" w:themeShade="BF"/>
    </w:rPr>
    <w:tblPr>
      <w:tblStyleRowBandSize w:val="1"/>
      <w:tblStyleColBandSize w:val="1"/>
      <w:tblBorders>
        <w:top w:val="single" w:sz="8" w:space="0" w:color="0A7DFF" w:themeColor="accent2"/>
        <w:bottom w:val="single" w:sz="8" w:space="0" w:color="0A7DFF" w:themeColor="accent2"/>
      </w:tblBorders>
    </w:tblPr>
    <w:tblStylePr w:type="fir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la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left w:val="nil"/>
          <w:right w:val="nil"/>
          <w:insideH w:val="nil"/>
          <w:insideV w:val="nil"/>
        </w:tcBorders>
        <w:shd w:val="clear" w:color="auto" w:fill="C2DEFF" w:themeFill="accent2" w:themeFillTint="3F"/>
      </w:tcPr>
    </w:tblStylePr>
  </w:style>
  <w:style w:type="table" w:styleId="LightShading-Accent3">
    <w:name w:val="Light Shading Accent 3"/>
    <w:basedOn w:val="TableNormal"/>
    <w:uiPriority w:val="60"/>
    <w:semiHidden/>
    <w:unhideWhenUsed/>
    <w:locked/>
    <w:rsid w:val="00095532"/>
    <w:pPr>
      <w:spacing w:line="240" w:lineRule="auto"/>
    </w:pPr>
    <w:rPr>
      <w:color w:val="03D8FF" w:themeColor="accent3" w:themeShade="BF"/>
    </w:rPr>
    <w:tblPr>
      <w:tblStyleRowBandSize w:val="1"/>
      <w:tblStyleColBandSize w:val="1"/>
      <w:tblBorders>
        <w:top w:val="single" w:sz="8" w:space="0" w:color="5AE6FF" w:themeColor="accent3"/>
        <w:bottom w:val="single" w:sz="8" w:space="0" w:color="5AE6FF" w:themeColor="accent3"/>
      </w:tblBorders>
    </w:tblPr>
    <w:tblStylePr w:type="fir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la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left w:val="nil"/>
          <w:right w:val="nil"/>
          <w:insideH w:val="nil"/>
          <w:insideV w:val="nil"/>
        </w:tcBorders>
        <w:shd w:val="clear" w:color="auto" w:fill="D6F8FF" w:themeFill="accent3" w:themeFillTint="3F"/>
      </w:tcPr>
    </w:tblStylePr>
  </w:style>
  <w:style w:type="table" w:styleId="LightShading-Accent4">
    <w:name w:val="Light Shading Accent 4"/>
    <w:basedOn w:val="TableNormal"/>
    <w:uiPriority w:val="60"/>
    <w:semiHidden/>
    <w:unhideWhenUsed/>
    <w:locked/>
    <w:rsid w:val="00095532"/>
    <w:pPr>
      <w:spacing w:line="240" w:lineRule="auto"/>
    </w:pPr>
    <w:rPr>
      <w:color w:val="00163F" w:themeColor="accent4" w:themeShade="BF"/>
    </w:rPr>
    <w:tblPr>
      <w:tblStyleRowBandSize w:val="1"/>
      <w:tblStyleColBandSize w:val="1"/>
      <w:tblBorders>
        <w:top w:val="single" w:sz="8" w:space="0" w:color="001E55" w:themeColor="accent4"/>
        <w:bottom w:val="single" w:sz="8" w:space="0" w:color="001E55" w:themeColor="accent4"/>
      </w:tblBorders>
    </w:tblPr>
    <w:tblStylePr w:type="fir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la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left w:val="nil"/>
          <w:right w:val="nil"/>
          <w:insideH w:val="nil"/>
          <w:insideV w:val="nil"/>
        </w:tcBorders>
        <w:shd w:val="clear" w:color="auto" w:fill="96BBFF" w:themeFill="accent4" w:themeFillTint="3F"/>
      </w:tcPr>
    </w:tblStylePr>
  </w:style>
  <w:style w:type="table" w:styleId="LightShading-Accent5">
    <w:name w:val="Light Shading Accent 5"/>
    <w:basedOn w:val="TableNormal"/>
    <w:uiPriority w:val="60"/>
    <w:semiHidden/>
    <w:unhideWhenUsed/>
    <w:locked/>
    <w:rsid w:val="00095532"/>
    <w:pPr>
      <w:spacing w:line="240" w:lineRule="auto"/>
    </w:pPr>
    <w:rPr>
      <w:color w:val="7B7B7B" w:themeColor="accent5" w:themeShade="BF"/>
    </w:rPr>
    <w:tblPr>
      <w:tblStyleRowBandSize w:val="1"/>
      <w:tblStyleColBandSize w:val="1"/>
      <w:tblBorders>
        <w:top w:val="single" w:sz="8" w:space="0" w:color="A5A5A5" w:themeColor="accent5"/>
        <w:bottom w:val="single" w:sz="8" w:space="0" w:color="A5A5A5" w:themeColor="accent5"/>
      </w:tblBorders>
    </w:tblPr>
    <w:tblStylePr w:type="fir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la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left w:val="nil"/>
          <w:right w:val="nil"/>
          <w:insideH w:val="nil"/>
          <w:insideV w:val="nil"/>
        </w:tcBorders>
        <w:shd w:val="clear" w:color="auto" w:fill="E8E8E8" w:themeFill="accent5" w:themeFillTint="3F"/>
      </w:tcPr>
    </w:tblStylePr>
  </w:style>
  <w:style w:type="table" w:styleId="LightShading-Accent6">
    <w:name w:val="Light Shading Accent 6"/>
    <w:basedOn w:val="TableNormal"/>
    <w:uiPriority w:val="60"/>
    <w:semiHidden/>
    <w:unhideWhenUsed/>
    <w:locked/>
    <w:rsid w:val="00095532"/>
    <w:pPr>
      <w:spacing w:line="240" w:lineRule="auto"/>
    </w:pPr>
    <w:rPr>
      <w:color w:val="959595" w:themeColor="accent6" w:themeShade="BF"/>
    </w:rPr>
    <w:tblPr>
      <w:tblStyleRowBandSize w:val="1"/>
      <w:tblStyleColBandSize w:val="1"/>
      <w:tblBorders>
        <w:top w:val="single" w:sz="8" w:space="0" w:color="C8C8C8" w:themeColor="accent6"/>
        <w:bottom w:val="single" w:sz="8" w:space="0" w:color="C8C8C8" w:themeColor="accent6"/>
      </w:tblBorders>
    </w:tblPr>
    <w:tblStylePr w:type="fir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la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left w:val="nil"/>
          <w:right w:val="nil"/>
          <w:insideH w:val="nil"/>
          <w:insideV w:val="nil"/>
        </w:tcBorders>
        <w:shd w:val="clear" w:color="auto" w:fill="F1F1F1" w:themeFill="accent6" w:themeFillTint="3F"/>
      </w:tcPr>
    </w:tblStylePr>
  </w:style>
  <w:style w:type="character" w:styleId="LineNumber">
    <w:name w:val="line number"/>
    <w:basedOn w:val="DefaultParagraphFont"/>
    <w:uiPriority w:val="99"/>
    <w:semiHidden/>
    <w:unhideWhenUsed/>
    <w:locked/>
    <w:rsid w:val="00095532"/>
  </w:style>
  <w:style w:type="paragraph" w:styleId="List">
    <w:name w:val="List"/>
    <w:basedOn w:val="Normal"/>
    <w:uiPriority w:val="99"/>
    <w:semiHidden/>
    <w:unhideWhenUsed/>
    <w:locked/>
    <w:rsid w:val="00095532"/>
    <w:pPr>
      <w:ind w:left="283" w:hanging="283"/>
      <w:contextualSpacing/>
    </w:pPr>
  </w:style>
  <w:style w:type="paragraph" w:styleId="List2">
    <w:name w:val="List 2"/>
    <w:basedOn w:val="Normal"/>
    <w:uiPriority w:val="99"/>
    <w:semiHidden/>
    <w:unhideWhenUsed/>
    <w:locked/>
    <w:rsid w:val="00095532"/>
    <w:pPr>
      <w:ind w:left="566" w:hanging="283"/>
      <w:contextualSpacing/>
    </w:pPr>
  </w:style>
  <w:style w:type="paragraph" w:styleId="List3">
    <w:name w:val="List 3"/>
    <w:basedOn w:val="Normal"/>
    <w:uiPriority w:val="99"/>
    <w:semiHidden/>
    <w:unhideWhenUsed/>
    <w:locked/>
    <w:rsid w:val="00095532"/>
    <w:pPr>
      <w:ind w:left="849" w:hanging="283"/>
      <w:contextualSpacing/>
    </w:pPr>
  </w:style>
  <w:style w:type="paragraph" w:styleId="List4">
    <w:name w:val="List 4"/>
    <w:basedOn w:val="Normal"/>
    <w:uiPriority w:val="99"/>
    <w:semiHidden/>
    <w:unhideWhenUsed/>
    <w:locked/>
    <w:rsid w:val="00095532"/>
    <w:pPr>
      <w:ind w:left="1132" w:hanging="283"/>
      <w:contextualSpacing/>
    </w:pPr>
  </w:style>
  <w:style w:type="paragraph" w:styleId="List5">
    <w:name w:val="List 5"/>
    <w:basedOn w:val="Normal"/>
    <w:uiPriority w:val="99"/>
    <w:semiHidden/>
    <w:unhideWhenUsed/>
    <w:locked/>
    <w:rsid w:val="00095532"/>
    <w:pPr>
      <w:ind w:left="1415" w:hanging="283"/>
      <w:contextualSpacing/>
    </w:pPr>
  </w:style>
  <w:style w:type="paragraph" w:styleId="ListBullet4">
    <w:name w:val="List Bullet 4"/>
    <w:basedOn w:val="Normal"/>
    <w:uiPriority w:val="99"/>
    <w:semiHidden/>
    <w:unhideWhenUsed/>
    <w:locked/>
    <w:rsid w:val="00095532"/>
    <w:pPr>
      <w:tabs>
        <w:tab w:val="num" w:pos="1209"/>
      </w:tabs>
      <w:ind w:left="1209" w:hanging="360"/>
      <w:contextualSpacing/>
    </w:pPr>
  </w:style>
  <w:style w:type="paragraph" w:styleId="ListBullet5">
    <w:name w:val="List Bullet 5"/>
    <w:basedOn w:val="Normal"/>
    <w:uiPriority w:val="99"/>
    <w:semiHidden/>
    <w:unhideWhenUsed/>
    <w:locked/>
    <w:rsid w:val="00095532"/>
    <w:pPr>
      <w:tabs>
        <w:tab w:val="num" w:pos="1492"/>
      </w:tabs>
      <w:ind w:left="1492" w:hanging="360"/>
      <w:contextualSpacing/>
    </w:pPr>
  </w:style>
  <w:style w:type="paragraph" w:styleId="ListContinue">
    <w:name w:val="List Continue"/>
    <w:basedOn w:val="Normal"/>
    <w:uiPriority w:val="99"/>
    <w:semiHidden/>
    <w:unhideWhenUsed/>
    <w:locked/>
    <w:rsid w:val="00095532"/>
    <w:pPr>
      <w:spacing w:after="120"/>
      <w:ind w:left="283"/>
      <w:contextualSpacing/>
    </w:pPr>
  </w:style>
  <w:style w:type="paragraph" w:styleId="ListContinue2">
    <w:name w:val="List Continue 2"/>
    <w:basedOn w:val="Normal"/>
    <w:uiPriority w:val="99"/>
    <w:semiHidden/>
    <w:unhideWhenUsed/>
    <w:locked/>
    <w:rsid w:val="00095532"/>
    <w:pPr>
      <w:spacing w:after="120"/>
      <w:ind w:left="566"/>
      <w:contextualSpacing/>
    </w:pPr>
  </w:style>
  <w:style w:type="paragraph" w:styleId="ListContinue3">
    <w:name w:val="List Continue 3"/>
    <w:basedOn w:val="Normal"/>
    <w:uiPriority w:val="99"/>
    <w:semiHidden/>
    <w:unhideWhenUsed/>
    <w:locked/>
    <w:rsid w:val="00095532"/>
    <w:pPr>
      <w:spacing w:after="120"/>
      <w:ind w:left="849"/>
      <w:contextualSpacing/>
    </w:pPr>
  </w:style>
  <w:style w:type="paragraph" w:styleId="ListContinue4">
    <w:name w:val="List Continue 4"/>
    <w:basedOn w:val="Normal"/>
    <w:uiPriority w:val="99"/>
    <w:semiHidden/>
    <w:unhideWhenUsed/>
    <w:locked/>
    <w:rsid w:val="00095532"/>
    <w:pPr>
      <w:spacing w:after="120"/>
      <w:ind w:left="1132"/>
      <w:contextualSpacing/>
    </w:pPr>
  </w:style>
  <w:style w:type="paragraph" w:styleId="ListContinue5">
    <w:name w:val="List Continue 5"/>
    <w:basedOn w:val="Normal"/>
    <w:uiPriority w:val="99"/>
    <w:semiHidden/>
    <w:unhideWhenUsed/>
    <w:locked/>
    <w:rsid w:val="00095532"/>
    <w:pPr>
      <w:spacing w:after="120"/>
      <w:ind w:left="1415"/>
      <w:contextualSpacing/>
    </w:pPr>
  </w:style>
  <w:style w:type="paragraph" w:styleId="ListNumber5">
    <w:name w:val="List Number 5"/>
    <w:basedOn w:val="Normal"/>
    <w:uiPriority w:val="99"/>
    <w:semiHidden/>
    <w:unhideWhenUsed/>
    <w:locked/>
    <w:rsid w:val="00095532"/>
    <w:pPr>
      <w:tabs>
        <w:tab w:val="num" w:pos="1492"/>
      </w:tabs>
      <w:ind w:left="1492" w:hanging="360"/>
      <w:contextualSpacing/>
    </w:pPr>
  </w:style>
  <w:style w:type="table" w:styleId="ListTable1Light">
    <w:name w:val="List Table 1 Light"/>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7875EC" w:themeColor="accent1" w:themeTint="99"/>
        </w:tcBorders>
      </w:tcPr>
    </w:tblStylePr>
    <w:tblStylePr w:type="lastRow">
      <w:rPr>
        <w:b/>
        <w:bCs/>
      </w:rPr>
      <w:tblPr/>
      <w:tcPr>
        <w:tcBorders>
          <w:top w:val="sing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1Light-Accent2">
    <w:name w:val="List Table 1 Light Accent 2"/>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6CB0FF" w:themeColor="accent2" w:themeTint="99"/>
        </w:tcBorders>
      </w:tcPr>
    </w:tblStylePr>
    <w:tblStylePr w:type="lastRow">
      <w:rPr>
        <w:b/>
        <w:bCs/>
      </w:rPr>
      <w:tblPr/>
      <w:tcPr>
        <w:tcBorders>
          <w:top w:val="sing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1Light-Accent3">
    <w:name w:val="List Table 1 Light Accent 3"/>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9CEFFF" w:themeColor="accent3" w:themeTint="99"/>
        </w:tcBorders>
      </w:tcPr>
    </w:tblStylePr>
    <w:tblStylePr w:type="lastRow">
      <w:rPr>
        <w:b/>
        <w:bCs/>
      </w:rPr>
      <w:tblPr/>
      <w:tcPr>
        <w:tcBorders>
          <w:top w:val="sing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1Light-Accent4">
    <w:name w:val="List Table 1 Light Accent 4"/>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005AFF" w:themeColor="accent4" w:themeTint="99"/>
        </w:tcBorders>
      </w:tcPr>
    </w:tblStylePr>
    <w:tblStylePr w:type="lastRow">
      <w:rPr>
        <w:b/>
        <w:bCs/>
      </w:rPr>
      <w:tblPr/>
      <w:tcPr>
        <w:tcBorders>
          <w:top w:val="sing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1Light-Accent5">
    <w:name w:val="List Table 1 Light Accent 5"/>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C9C9C9" w:themeColor="accent5" w:themeTint="99"/>
        </w:tcBorders>
      </w:tcPr>
    </w:tblStylePr>
    <w:tblStylePr w:type="lastRow">
      <w:rPr>
        <w:b/>
        <w:bCs/>
      </w:rPr>
      <w:tblPr/>
      <w:tcPr>
        <w:tcBorders>
          <w:top w:val="sing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1Light-Accent6">
    <w:name w:val="List Table 1 Light Accent 6"/>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DEDEDE" w:themeColor="accent6" w:themeTint="99"/>
        </w:tcBorders>
      </w:tcPr>
    </w:tblStylePr>
    <w:tblStylePr w:type="lastRow">
      <w:rPr>
        <w:b/>
        <w:bCs/>
      </w:rPr>
      <w:tblPr/>
      <w:tcPr>
        <w:tcBorders>
          <w:top w:val="sing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2">
    <w:name w:val="List Table 2"/>
    <w:basedOn w:val="TableNormal"/>
    <w:uiPriority w:val="47"/>
    <w:locked/>
    <w:rsid w:val="00095532"/>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095532"/>
    <w:pPr>
      <w:spacing w:line="240" w:lineRule="auto"/>
    </w:pPr>
    <w:tblPr>
      <w:tblStyleRowBandSize w:val="1"/>
      <w:tblStyleColBandSize w:val="1"/>
      <w:tblBorders>
        <w:top w:val="single" w:sz="4" w:space="0" w:color="7875EC" w:themeColor="accent1" w:themeTint="99"/>
        <w:bottom w:val="single" w:sz="4" w:space="0" w:color="7875EC" w:themeColor="accent1" w:themeTint="99"/>
        <w:insideH w:val="single" w:sz="4" w:space="0" w:color="7875E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2-Accent2">
    <w:name w:val="List Table 2 Accent 2"/>
    <w:basedOn w:val="TableNormal"/>
    <w:uiPriority w:val="47"/>
    <w:locked/>
    <w:rsid w:val="00095532"/>
    <w:pPr>
      <w:spacing w:line="240" w:lineRule="auto"/>
    </w:pPr>
    <w:tblPr>
      <w:tblStyleRowBandSize w:val="1"/>
      <w:tblStyleColBandSize w:val="1"/>
      <w:tblBorders>
        <w:top w:val="single" w:sz="4" w:space="0" w:color="6CB0FF" w:themeColor="accent2" w:themeTint="99"/>
        <w:bottom w:val="single" w:sz="4" w:space="0" w:color="6CB0FF" w:themeColor="accent2" w:themeTint="99"/>
        <w:insideH w:val="single" w:sz="4" w:space="0" w:color="6CB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2-Accent3">
    <w:name w:val="List Table 2 Accent 3"/>
    <w:basedOn w:val="TableNormal"/>
    <w:uiPriority w:val="47"/>
    <w:locked/>
    <w:rsid w:val="00095532"/>
    <w:pPr>
      <w:spacing w:line="240" w:lineRule="auto"/>
    </w:pPr>
    <w:tblPr>
      <w:tblStyleRowBandSize w:val="1"/>
      <w:tblStyleColBandSize w:val="1"/>
      <w:tblBorders>
        <w:top w:val="single" w:sz="4" w:space="0" w:color="9CEFFF" w:themeColor="accent3" w:themeTint="99"/>
        <w:bottom w:val="single" w:sz="4" w:space="0" w:color="9CEFFF" w:themeColor="accent3" w:themeTint="99"/>
        <w:insideH w:val="single" w:sz="4" w:space="0" w:color="9CEF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2-Accent4">
    <w:name w:val="List Table 2 Accent 4"/>
    <w:basedOn w:val="TableNormal"/>
    <w:uiPriority w:val="47"/>
    <w:locked/>
    <w:rsid w:val="00095532"/>
    <w:pPr>
      <w:spacing w:line="240" w:lineRule="auto"/>
    </w:pPr>
    <w:tblPr>
      <w:tblStyleRowBandSize w:val="1"/>
      <w:tblStyleColBandSize w:val="1"/>
      <w:tblBorders>
        <w:top w:val="single" w:sz="4" w:space="0" w:color="005AFF" w:themeColor="accent4" w:themeTint="99"/>
        <w:bottom w:val="single" w:sz="4" w:space="0" w:color="005AFF" w:themeColor="accent4" w:themeTint="99"/>
        <w:insideH w:val="single" w:sz="4" w:space="0" w:color="005A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2-Accent5">
    <w:name w:val="List Table 2 Accent 5"/>
    <w:basedOn w:val="TableNormal"/>
    <w:uiPriority w:val="47"/>
    <w:locked/>
    <w:rsid w:val="00095532"/>
    <w:pPr>
      <w:spacing w:line="240" w:lineRule="auto"/>
    </w:pPr>
    <w:tblPr>
      <w:tblStyleRowBandSize w:val="1"/>
      <w:tblStyleColBandSize w:val="1"/>
      <w:tblBorders>
        <w:top w:val="single" w:sz="4" w:space="0" w:color="C9C9C9" w:themeColor="accent5" w:themeTint="99"/>
        <w:bottom w:val="single" w:sz="4" w:space="0" w:color="C9C9C9" w:themeColor="accent5" w:themeTint="99"/>
        <w:insideH w:val="single" w:sz="4" w:space="0" w:color="C9C9C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2-Accent6">
    <w:name w:val="List Table 2 Accent 6"/>
    <w:basedOn w:val="TableNormal"/>
    <w:uiPriority w:val="47"/>
    <w:locked/>
    <w:rsid w:val="00095532"/>
    <w:pPr>
      <w:spacing w:line="240" w:lineRule="auto"/>
    </w:pPr>
    <w:tblPr>
      <w:tblStyleRowBandSize w:val="1"/>
      <w:tblStyleColBandSize w:val="1"/>
      <w:tblBorders>
        <w:top w:val="single" w:sz="4" w:space="0" w:color="DEDEDE" w:themeColor="accent6" w:themeTint="99"/>
        <w:bottom w:val="single" w:sz="4" w:space="0" w:color="DEDEDE" w:themeColor="accent6" w:themeTint="99"/>
        <w:insideH w:val="single" w:sz="4" w:space="0" w:color="DEDED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3">
    <w:name w:val="List Table 3"/>
    <w:basedOn w:val="TableNormal"/>
    <w:uiPriority w:val="48"/>
    <w:locked/>
    <w:rsid w:val="00095532"/>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095532"/>
    <w:pPr>
      <w:spacing w:line="240" w:lineRule="auto"/>
    </w:pPr>
    <w:tblPr>
      <w:tblStyleRowBandSize w:val="1"/>
      <w:tblStyleColBandSize w:val="1"/>
      <w:tblBorders>
        <w:top w:val="single" w:sz="4" w:space="0" w:color="231EDC" w:themeColor="accent1"/>
        <w:left w:val="single" w:sz="4" w:space="0" w:color="231EDC" w:themeColor="accent1"/>
        <w:bottom w:val="single" w:sz="4" w:space="0" w:color="231EDC" w:themeColor="accent1"/>
        <w:right w:val="single" w:sz="4" w:space="0" w:color="231EDC" w:themeColor="accent1"/>
      </w:tblBorders>
    </w:tblPr>
    <w:tblStylePr w:type="firstRow">
      <w:rPr>
        <w:b/>
        <w:bCs/>
        <w:color w:val="FFFFFF" w:themeColor="background1"/>
      </w:rPr>
      <w:tblPr/>
      <w:tcPr>
        <w:shd w:val="clear" w:color="auto" w:fill="231EDC" w:themeFill="accent1"/>
      </w:tcPr>
    </w:tblStylePr>
    <w:tblStylePr w:type="lastRow">
      <w:rPr>
        <w:b/>
        <w:bCs/>
      </w:rPr>
      <w:tblPr/>
      <w:tcPr>
        <w:tcBorders>
          <w:top w:val="double" w:sz="4" w:space="0" w:color="231ED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EDC" w:themeColor="accent1"/>
          <w:right w:val="single" w:sz="4" w:space="0" w:color="231EDC" w:themeColor="accent1"/>
        </w:tcBorders>
      </w:tcPr>
    </w:tblStylePr>
    <w:tblStylePr w:type="band1Horz">
      <w:tblPr/>
      <w:tcPr>
        <w:tcBorders>
          <w:top w:val="single" w:sz="4" w:space="0" w:color="231EDC" w:themeColor="accent1"/>
          <w:bottom w:val="single" w:sz="4" w:space="0" w:color="231ED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EDC" w:themeColor="accent1"/>
          <w:left w:val="nil"/>
        </w:tcBorders>
      </w:tcPr>
    </w:tblStylePr>
    <w:tblStylePr w:type="swCell">
      <w:tblPr/>
      <w:tcPr>
        <w:tcBorders>
          <w:top w:val="double" w:sz="4" w:space="0" w:color="231EDC" w:themeColor="accent1"/>
          <w:right w:val="nil"/>
        </w:tcBorders>
      </w:tcPr>
    </w:tblStylePr>
  </w:style>
  <w:style w:type="table" w:styleId="ListTable3-Accent2">
    <w:name w:val="List Table 3 Accent 2"/>
    <w:basedOn w:val="TableNormal"/>
    <w:uiPriority w:val="48"/>
    <w:locked/>
    <w:rsid w:val="00095532"/>
    <w:pPr>
      <w:spacing w:line="240" w:lineRule="auto"/>
    </w:pPr>
    <w:tblPr>
      <w:tblStyleRowBandSize w:val="1"/>
      <w:tblStyleColBandSize w:val="1"/>
      <w:tblBorders>
        <w:top w:val="single" w:sz="4" w:space="0" w:color="0A7DFF" w:themeColor="accent2"/>
        <w:left w:val="single" w:sz="4" w:space="0" w:color="0A7DFF" w:themeColor="accent2"/>
        <w:bottom w:val="single" w:sz="4" w:space="0" w:color="0A7DFF" w:themeColor="accent2"/>
        <w:right w:val="single" w:sz="4" w:space="0" w:color="0A7DFF" w:themeColor="accent2"/>
      </w:tblBorders>
    </w:tblPr>
    <w:tblStylePr w:type="firstRow">
      <w:rPr>
        <w:b/>
        <w:bCs/>
        <w:color w:val="FFFFFF" w:themeColor="background1"/>
      </w:rPr>
      <w:tblPr/>
      <w:tcPr>
        <w:shd w:val="clear" w:color="auto" w:fill="0A7DFF" w:themeFill="accent2"/>
      </w:tcPr>
    </w:tblStylePr>
    <w:tblStylePr w:type="lastRow">
      <w:rPr>
        <w:b/>
        <w:bCs/>
      </w:rPr>
      <w:tblPr/>
      <w:tcPr>
        <w:tcBorders>
          <w:top w:val="double" w:sz="4" w:space="0" w:color="0A7D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7DFF" w:themeColor="accent2"/>
          <w:right w:val="single" w:sz="4" w:space="0" w:color="0A7DFF" w:themeColor="accent2"/>
        </w:tcBorders>
      </w:tcPr>
    </w:tblStylePr>
    <w:tblStylePr w:type="band1Horz">
      <w:tblPr/>
      <w:tcPr>
        <w:tcBorders>
          <w:top w:val="single" w:sz="4" w:space="0" w:color="0A7DFF" w:themeColor="accent2"/>
          <w:bottom w:val="single" w:sz="4" w:space="0" w:color="0A7D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7DFF" w:themeColor="accent2"/>
          <w:left w:val="nil"/>
        </w:tcBorders>
      </w:tcPr>
    </w:tblStylePr>
    <w:tblStylePr w:type="swCell">
      <w:tblPr/>
      <w:tcPr>
        <w:tcBorders>
          <w:top w:val="double" w:sz="4" w:space="0" w:color="0A7DFF" w:themeColor="accent2"/>
          <w:right w:val="nil"/>
        </w:tcBorders>
      </w:tcPr>
    </w:tblStylePr>
  </w:style>
  <w:style w:type="table" w:styleId="ListTable3-Accent3">
    <w:name w:val="List Table 3 Accent 3"/>
    <w:basedOn w:val="TableNormal"/>
    <w:uiPriority w:val="48"/>
    <w:locked/>
    <w:rsid w:val="00095532"/>
    <w:pPr>
      <w:spacing w:line="240" w:lineRule="auto"/>
    </w:pPr>
    <w:tblPr>
      <w:tblStyleRowBandSize w:val="1"/>
      <w:tblStyleColBandSize w:val="1"/>
      <w:tblBorders>
        <w:top w:val="single" w:sz="4" w:space="0" w:color="5AE6FF" w:themeColor="accent3"/>
        <w:left w:val="single" w:sz="4" w:space="0" w:color="5AE6FF" w:themeColor="accent3"/>
        <w:bottom w:val="single" w:sz="4" w:space="0" w:color="5AE6FF" w:themeColor="accent3"/>
        <w:right w:val="single" w:sz="4" w:space="0" w:color="5AE6FF" w:themeColor="accent3"/>
      </w:tblBorders>
    </w:tblPr>
    <w:tblStylePr w:type="firstRow">
      <w:rPr>
        <w:b/>
        <w:bCs/>
        <w:color w:val="FFFFFF" w:themeColor="background1"/>
      </w:rPr>
      <w:tblPr/>
      <w:tcPr>
        <w:shd w:val="clear" w:color="auto" w:fill="5AE6FF" w:themeFill="accent3"/>
      </w:tcPr>
    </w:tblStylePr>
    <w:tblStylePr w:type="lastRow">
      <w:rPr>
        <w:b/>
        <w:bCs/>
      </w:rPr>
      <w:tblPr/>
      <w:tcPr>
        <w:tcBorders>
          <w:top w:val="double" w:sz="4" w:space="0" w:color="5AE6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E6FF" w:themeColor="accent3"/>
          <w:right w:val="single" w:sz="4" w:space="0" w:color="5AE6FF" w:themeColor="accent3"/>
        </w:tcBorders>
      </w:tcPr>
    </w:tblStylePr>
    <w:tblStylePr w:type="band1Horz">
      <w:tblPr/>
      <w:tcPr>
        <w:tcBorders>
          <w:top w:val="single" w:sz="4" w:space="0" w:color="5AE6FF" w:themeColor="accent3"/>
          <w:bottom w:val="single" w:sz="4" w:space="0" w:color="5AE6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E6FF" w:themeColor="accent3"/>
          <w:left w:val="nil"/>
        </w:tcBorders>
      </w:tcPr>
    </w:tblStylePr>
    <w:tblStylePr w:type="swCell">
      <w:tblPr/>
      <w:tcPr>
        <w:tcBorders>
          <w:top w:val="double" w:sz="4" w:space="0" w:color="5AE6FF" w:themeColor="accent3"/>
          <w:right w:val="nil"/>
        </w:tcBorders>
      </w:tcPr>
    </w:tblStylePr>
  </w:style>
  <w:style w:type="table" w:styleId="ListTable3-Accent4">
    <w:name w:val="List Table 3 Accent 4"/>
    <w:basedOn w:val="TableNormal"/>
    <w:uiPriority w:val="48"/>
    <w:locked/>
    <w:rsid w:val="00095532"/>
    <w:pPr>
      <w:spacing w:line="240" w:lineRule="auto"/>
    </w:pPr>
    <w:tblPr>
      <w:tblStyleRowBandSize w:val="1"/>
      <w:tblStyleColBandSize w:val="1"/>
      <w:tblBorders>
        <w:top w:val="single" w:sz="4" w:space="0" w:color="001E55" w:themeColor="accent4"/>
        <w:left w:val="single" w:sz="4" w:space="0" w:color="001E55" w:themeColor="accent4"/>
        <w:bottom w:val="single" w:sz="4" w:space="0" w:color="001E55" w:themeColor="accent4"/>
        <w:right w:val="single" w:sz="4" w:space="0" w:color="001E55" w:themeColor="accent4"/>
      </w:tblBorders>
    </w:tblPr>
    <w:tblStylePr w:type="firstRow">
      <w:rPr>
        <w:b/>
        <w:bCs/>
        <w:color w:val="FFFFFF" w:themeColor="background1"/>
      </w:rPr>
      <w:tblPr/>
      <w:tcPr>
        <w:shd w:val="clear" w:color="auto" w:fill="001E55" w:themeFill="accent4"/>
      </w:tcPr>
    </w:tblStylePr>
    <w:tblStylePr w:type="lastRow">
      <w:rPr>
        <w:b/>
        <w:bCs/>
      </w:rPr>
      <w:tblPr/>
      <w:tcPr>
        <w:tcBorders>
          <w:top w:val="double" w:sz="4" w:space="0" w:color="001E5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E55" w:themeColor="accent4"/>
          <w:right w:val="single" w:sz="4" w:space="0" w:color="001E55" w:themeColor="accent4"/>
        </w:tcBorders>
      </w:tcPr>
    </w:tblStylePr>
    <w:tblStylePr w:type="band1Horz">
      <w:tblPr/>
      <w:tcPr>
        <w:tcBorders>
          <w:top w:val="single" w:sz="4" w:space="0" w:color="001E55" w:themeColor="accent4"/>
          <w:bottom w:val="single" w:sz="4" w:space="0" w:color="001E5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E55" w:themeColor="accent4"/>
          <w:left w:val="nil"/>
        </w:tcBorders>
      </w:tcPr>
    </w:tblStylePr>
    <w:tblStylePr w:type="swCell">
      <w:tblPr/>
      <w:tcPr>
        <w:tcBorders>
          <w:top w:val="double" w:sz="4" w:space="0" w:color="001E55" w:themeColor="accent4"/>
          <w:right w:val="nil"/>
        </w:tcBorders>
      </w:tcPr>
    </w:tblStylePr>
  </w:style>
  <w:style w:type="table" w:styleId="ListTable3-Accent5">
    <w:name w:val="List Table 3 Accent 5"/>
    <w:basedOn w:val="TableNormal"/>
    <w:uiPriority w:val="48"/>
    <w:locked/>
    <w:rsid w:val="00095532"/>
    <w:pPr>
      <w:spacing w:line="240" w:lineRule="auto"/>
    </w:pPr>
    <w:tblPr>
      <w:tblStyleRowBandSize w:val="1"/>
      <w:tblStyleColBandSize w:val="1"/>
      <w:tblBorders>
        <w:top w:val="single" w:sz="4" w:space="0" w:color="A5A5A5" w:themeColor="accent5"/>
        <w:left w:val="single" w:sz="4" w:space="0" w:color="A5A5A5" w:themeColor="accent5"/>
        <w:bottom w:val="single" w:sz="4" w:space="0" w:color="A5A5A5" w:themeColor="accent5"/>
        <w:right w:val="single" w:sz="4" w:space="0" w:color="A5A5A5" w:themeColor="accent5"/>
      </w:tblBorders>
    </w:tblPr>
    <w:tblStylePr w:type="firstRow">
      <w:rPr>
        <w:b/>
        <w:bCs/>
        <w:color w:val="FFFFFF" w:themeColor="background1"/>
      </w:rPr>
      <w:tblPr/>
      <w:tcPr>
        <w:shd w:val="clear" w:color="auto" w:fill="A5A5A5" w:themeFill="accent5"/>
      </w:tcPr>
    </w:tblStylePr>
    <w:tblStylePr w:type="lastRow">
      <w:rPr>
        <w:b/>
        <w:bCs/>
      </w:rPr>
      <w:tblPr/>
      <w:tcPr>
        <w:tcBorders>
          <w:top w:val="double" w:sz="4" w:space="0" w:color="A5A5A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5"/>
          <w:right w:val="single" w:sz="4" w:space="0" w:color="A5A5A5" w:themeColor="accent5"/>
        </w:tcBorders>
      </w:tcPr>
    </w:tblStylePr>
    <w:tblStylePr w:type="band1Horz">
      <w:tblPr/>
      <w:tcPr>
        <w:tcBorders>
          <w:top w:val="single" w:sz="4" w:space="0" w:color="A5A5A5" w:themeColor="accent5"/>
          <w:bottom w:val="single" w:sz="4" w:space="0" w:color="A5A5A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5"/>
          <w:left w:val="nil"/>
        </w:tcBorders>
      </w:tcPr>
    </w:tblStylePr>
    <w:tblStylePr w:type="swCell">
      <w:tblPr/>
      <w:tcPr>
        <w:tcBorders>
          <w:top w:val="double" w:sz="4" w:space="0" w:color="A5A5A5" w:themeColor="accent5"/>
          <w:right w:val="nil"/>
        </w:tcBorders>
      </w:tcPr>
    </w:tblStylePr>
  </w:style>
  <w:style w:type="table" w:styleId="ListTable3-Accent6">
    <w:name w:val="List Table 3 Accent 6"/>
    <w:basedOn w:val="TableNormal"/>
    <w:uiPriority w:val="48"/>
    <w:locked/>
    <w:rsid w:val="00095532"/>
    <w:pPr>
      <w:spacing w:line="240" w:lineRule="auto"/>
    </w:pPr>
    <w:tblPr>
      <w:tblStyleRowBandSize w:val="1"/>
      <w:tblStyleColBandSize w:val="1"/>
      <w:tblBorders>
        <w:top w:val="single" w:sz="4" w:space="0" w:color="C8C8C8" w:themeColor="accent6"/>
        <w:left w:val="single" w:sz="4" w:space="0" w:color="C8C8C8" w:themeColor="accent6"/>
        <w:bottom w:val="single" w:sz="4" w:space="0" w:color="C8C8C8" w:themeColor="accent6"/>
        <w:right w:val="single" w:sz="4" w:space="0" w:color="C8C8C8" w:themeColor="accent6"/>
      </w:tblBorders>
    </w:tblPr>
    <w:tblStylePr w:type="firstRow">
      <w:rPr>
        <w:b/>
        <w:bCs/>
        <w:color w:val="FFFFFF" w:themeColor="background1"/>
      </w:rPr>
      <w:tblPr/>
      <w:tcPr>
        <w:shd w:val="clear" w:color="auto" w:fill="C8C8C8" w:themeFill="accent6"/>
      </w:tcPr>
    </w:tblStylePr>
    <w:tblStylePr w:type="lastRow">
      <w:rPr>
        <w:b/>
        <w:bCs/>
      </w:rPr>
      <w:tblPr/>
      <w:tcPr>
        <w:tcBorders>
          <w:top w:val="double" w:sz="4" w:space="0" w:color="C8C8C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6"/>
          <w:right w:val="single" w:sz="4" w:space="0" w:color="C8C8C8" w:themeColor="accent6"/>
        </w:tcBorders>
      </w:tcPr>
    </w:tblStylePr>
    <w:tblStylePr w:type="band1Horz">
      <w:tblPr/>
      <w:tcPr>
        <w:tcBorders>
          <w:top w:val="single" w:sz="4" w:space="0" w:color="C8C8C8" w:themeColor="accent6"/>
          <w:bottom w:val="single" w:sz="4" w:space="0" w:color="C8C8C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6"/>
          <w:left w:val="nil"/>
        </w:tcBorders>
      </w:tcPr>
    </w:tblStylePr>
    <w:tblStylePr w:type="swCell">
      <w:tblPr/>
      <w:tcPr>
        <w:tcBorders>
          <w:top w:val="double" w:sz="4" w:space="0" w:color="C8C8C8" w:themeColor="accent6"/>
          <w:right w:val="nil"/>
        </w:tcBorders>
      </w:tcPr>
    </w:tblStylePr>
  </w:style>
  <w:style w:type="table" w:styleId="ListTable4">
    <w:name w:val="List Table 4"/>
    <w:basedOn w:val="TableNormal"/>
    <w:uiPriority w:val="49"/>
    <w:locked/>
    <w:rsid w:val="0009553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locked/>
    <w:rsid w:val="00095532"/>
    <w:pPr>
      <w:spacing w:line="240" w:lineRule="auto"/>
    </w:p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tcBorders>
        <w:shd w:val="clear" w:color="auto" w:fill="231EDC" w:themeFill="accent1"/>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4-Accent2">
    <w:name w:val="List Table 4 Accent 2"/>
    <w:basedOn w:val="TableNormal"/>
    <w:uiPriority w:val="49"/>
    <w:locked/>
    <w:rsid w:val="00095532"/>
    <w:pPr>
      <w:spacing w:line="240" w:lineRule="auto"/>
    </w:p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tcBorders>
        <w:shd w:val="clear" w:color="auto" w:fill="0A7DFF" w:themeFill="accent2"/>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4-Accent3">
    <w:name w:val="List Table 4 Accent 3"/>
    <w:basedOn w:val="TableNormal"/>
    <w:uiPriority w:val="49"/>
    <w:locked/>
    <w:rsid w:val="00095532"/>
    <w:pPr>
      <w:spacing w:line="240" w:lineRule="auto"/>
    </w:p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tcBorders>
        <w:shd w:val="clear" w:color="auto" w:fill="5AE6FF" w:themeFill="accent3"/>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4-Accent4">
    <w:name w:val="List Table 4 Accent 4"/>
    <w:basedOn w:val="TableNormal"/>
    <w:uiPriority w:val="49"/>
    <w:locked/>
    <w:rsid w:val="00095532"/>
    <w:pPr>
      <w:spacing w:line="240" w:lineRule="auto"/>
    </w:p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tcBorders>
        <w:shd w:val="clear" w:color="auto" w:fill="001E55" w:themeFill="accent4"/>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4-Accent5">
    <w:name w:val="List Table 4 Accent 5"/>
    <w:basedOn w:val="TableNormal"/>
    <w:uiPriority w:val="49"/>
    <w:locked/>
    <w:rsid w:val="00095532"/>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tcBorders>
        <w:shd w:val="clear" w:color="auto" w:fill="A5A5A5" w:themeFill="accent5"/>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4-Accent6">
    <w:name w:val="List Table 4 Accent 6"/>
    <w:basedOn w:val="TableNormal"/>
    <w:uiPriority w:val="49"/>
    <w:locked/>
    <w:rsid w:val="00095532"/>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tcBorders>
        <w:shd w:val="clear" w:color="auto" w:fill="C8C8C8" w:themeFill="accent6"/>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5Dark">
    <w:name w:val="List Table 5 Dark"/>
    <w:basedOn w:val="TableNormal"/>
    <w:uiPriority w:val="50"/>
    <w:locked/>
    <w:rsid w:val="00095532"/>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095532"/>
    <w:pPr>
      <w:spacing w:line="240" w:lineRule="auto"/>
    </w:pPr>
    <w:rPr>
      <w:color w:val="FFFFFF" w:themeColor="background1"/>
    </w:rPr>
    <w:tblPr>
      <w:tblStyleRowBandSize w:val="1"/>
      <w:tblStyleColBandSize w:val="1"/>
      <w:tblBorders>
        <w:top w:val="single" w:sz="24" w:space="0" w:color="231EDC" w:themeColor="accent1"/>
        <w:left w:val="single" w:sz="24" w:space="0" w:color="231EDC" w:themeColor="accent1"/>
        <w:bottom w:val="single" w:sz="24" w:space="0" w:color="231EDC" w:themeColor="accent1"/>
        <w:right w:val="single" w:sz="24" w:space="0" w:color="231EDC" w:themeColor="accent1"/>
      </w:tblBorders>
    </w:tblPr>
    <w:tcPr>
      <w:shd w:val="clear" w:color="auto" w:fill="231ED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095532"/>
    <w:pPr>
      <w:spacing w:line="240" w:lineRule="auto"/>
    </w:pPr>
    <w:rPr>
      <w:color w:val="FFFFFF" w:themeColor="background1"/>
    </w:rPr>
    <w:tblPr>
      <w:tblStyleRowBandSize w:val="1"/>
      <w:tblStyleColBandSize w:val="1"/>
      <w:tblBorders>
        <w:top w:val="single" w:sz="24" w:space="0" w:color="0A7DFF" w:themeColor="accent2"/>
        <w:left w:val="single" w:sz="24" w:space="0" w:color="0A7DFF" w:themeColor="accent2"/>
        <w:bottom w:val="single" w:sz="24" w:space="0" w:color="0A7DFF" w:themeColor="accent2"/>
        <w:right w:val="single" w:sz="24" w:space="0" w:color="0A7DFF" w:themeColor="accent2"/>
      </w:tblBorders>
    </w:tblPr>
    <w:tcPr>
      <w:shd w:val="clear" w:color="auto" w:fill="0A7DF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095532"/>
    <w:pPr>
      <w:spacing w:line="240" w:lineRule="auto"/>
    </w:pPr>
    <w:rPr>
      <w:color w:val="FFFFFF" w:themeColor="background1"/>
    </w:rPr>
    <w:tblPr>
      <w:tblStyleRowBandSize w:val="1"/>
      <w:tblStyleColBandSize w:val="1"/>
      <w:tblBorders>
        <w:top w:val="single" w:sz="24" w:space="0" w:color="5AE6FF" w:themeColor="accent3"/>
        <w:left w:val="single" w:sz="24" w:space="0" w:color="5AE6FF" w:themeColor="accent3"/>
        <w:bottom w:val="single" w:sz="24" w:space="0" w:color="5AE6FF" w:themeColor="accent3"/>
        <w:right w:val="single" w:sz="24" w:space="0" w:color="5AE6FF" w:themeColor="accent3"/>
      </w:tblBorders>
    </w:tblPr>
    <w:tcPr>
      <w:shd w:val="clear" w:color="auto" w:fill="5AE6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095532"/>
    <w:pPr>
      <w:spacing w:line="240" w:lineRule="auto"/>
    </w:pPr>
    <w:rPr>
      <w:color w:val="FFFFFF" w:themeColor="background1"/>
    </w:rPr>
    <w:tblPr>
      <w:tblStyleRowBandSize w:val="1"/>
      <w:tblStyleColBandSize w:val="1"/>
      <w:tblBorders>
        <w:top w:val="single" w:sz="24" w:space="0" w:color="001E55" w:themeColor="accent4"/>
        <w:left w:val="single" w:sz="24" w:space="0" w:color="001E55" w:themeColor="accent4"/>
        <w:bottom w:val="single" w:sz="24" w:space="0" w:color="001E55" w:themeColor="accent4"/>
        <w:right w:val="single" w:sz="24" w:space="0" w:color="001E55" w:themeColor="accent4"/>
      </w:tblBorders>
    </w:tblPr>
    <w:tcPr>
      <w:shd w:val="clear" w:color="auto" w:fill="001E5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095532"/>
    <w:pPr>
      <w:spacing w:line="240" w:lineRule="auto"/>
    </w:pPr>
    <w:rPr>
      <w:color w:val="FFFFFF" w:themeColor="background1"/>
    </w:rPr>
    <w:tblPr>
      <w:tblStyleRowBandSize w:val="1"/>
      <w:tblStyleColBandSize w:val="1"/>
      <w:tblBorders>
        <w:top w:val="single" w:sz="24" w:space="0" w:color="A5A5A5" w:themeColor="accent5"/>
        <w:left w:val="single" w:sz="24" w:space="0" w:color="A5A5A5" w:themeColor="accent5"/>
        <w:bottom w:val="single" w:sz="24" w:space="0" w:color="A5A5A5" w:themeColor="accent5"/>
        <w:right w:val="single" w:sz="24" w:space="0" w:color="A5A5A5" w:themeColor="accent5"/>
      </w:tblBorders>
    </w:tblPr>
    <w:tcPr>
      <w:shd w:val="clear" w:color="auto" w:fill="A5A5A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095532"/>
    <w:pPr>
      <w:spacing w:line="240" w:lineRule="auto"/>
    </w:pPr>
    <w:rPr>
      <w:color w:val="FFFFFF" w:themeColor="background1"/>
    </w:rPr>
    <w:tblPr>
      <w:tblStyleRowBandSize w:val="1"/>
      <w:tblStyleColBandSize w:val="1"/>
      <w:tblBorders>
        <w:top w:val="single" w:sz="24" w:space="0" w:color="C8C8C8" w:themeColor="accent6"/>
        <w:left w:val="single" w:sz="24" w:space="0" w:color="C8C8C8" w:themeColor="accent6"/>
        <w:bottom w:val="single" w:sz="24" w:space="0" w:color="C8C8C8" w:themeColor="accent6"/>
        <w:right w:val="single" w:sz="24" w:space="0" w:color="C8C8C8" w:themeColor="accent6"/>
      </w:tblBorders>
    </w:tblPr>
    <w:tcPr>
      <w:shd w:val="clear" w:color="auto" w:fill="C8C8C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095532"/>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095532"/>
    <w:pPr>
      <w:spacing w:line="240" w:lineRule="auto"/>
    </w:pPr>
    <w:rPr>
      <w:color w:val="1916A4" w:themeColor="accent1" w:themeShade="BF"/>
    </w:rPr>
    <w:tblPr>
      <w:tblStyleRowBandSize w:val="1"/>
      <w:tblStyleColBandSize w:val="1"/>
      <w:tblBorders>
        <w:top w:val="single" w:sz="4" w:space="0" w:color="231EDC" w:themeColor="accent1"/>
        <w:bottom w:val="single" w:sz="4" w:space="0" w:color="231EDC" w:themeColor="accent1"/>
      </w:tblBorders>
    </w:tblPr>
    <w:tblStylePr w:type="firstRow">
      <w:rPr>
        <w:b/>
        <w:bCs/>
      </w:rPr>
      <w:tblPr/>
      <w:tcPr>
        <w:tcBorders>
          <w:bottom w:val="single" w:sz="4" w:space="0" w:color="231EDC" w:themeColor="accent1"/>
        </w:tcBorders>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6Colorful-Accent2">
    <w:name w:val="List Table 6 Colorful Accent 2"/>
    <w:basedOn w:val="TableNormal"/>
    <w:uiPriority w:val="51"/>
    <w:locked/>
    <w:rsid w:val="00095532"/>
    <w:pPr>
      <w:spacing w:line="240" w:lineRule="auto"/>
    </w:pPr>
    <w:rPr>
      <w:color w:val="005CC6" w:themeColor="accent2" w:themeShade="BF"/>
    </w:rPr>
    <w:tblPr>
      <w:tblStyleRowBandSize w:val="1"/>
      <w:tblStyleColBandSize w:val="1"/>
      <w:tblBorders>
        <w:top w:val="single" w:sz="4" w:space="0" w:color="0A7DFF" w:themeColor="accent2"/>
        <w:bottom w:val="single" w:sz="4" w:space="0" w:color="0A7DFF" w:themeColor="accent2"/>
      </w:tblBorders>
    </w:tblPr>
    <w:tblStylePr w:type="firstRow">
      <w:rPr>
        <w:b/>
        <w:bCs/>
      </w:rPr>
      <w:tblPr/>
      <w:tcPr>
        <w:tcBorders>
          <w:bottom w:val="single" w:sz="4" w:space="0" w:color="0A7DFF" w:themeColor="accent2"/>
        </w:tcBorders>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6Colorful-Accent3">
    <w:name w:val="List Table 6 Colorful Accent 3"/>
    <w:basedOn w:val="TableNormal"/>
    <w:uiPriority w:val="51"/>
    <w:locked/>
    <w:rsid w:val="00095532"/>
    <w:pPr>
      <w:spacing w:line="240" w:lineRule="auto"/>
    </w:pPr>
    <w:rPr>
      <w:color w:val="03D8FF" w:themeColor="accent3" w:themeShade="BF"/>
    </w:rPr>
    <w:tblPr>
      <w:tblStyleRowBandSize w:val="1"/>
      <w:tblStyleColBandSize w:val="1"/>
      <w:tblBorders>
        <w:top w:val="single" w:sz="4" w:space="0" w:color="5AE6FF" w:themeColor="accent3"/>
        <w:bottom w:val="single" w:sz="4" w:space="0" w:color="5AE6FF" w:themeColor="accent3"/>
      </w:tblBorders>
    </w:tblPr>
    <w:tblStylePr w:type="firstRow">
      <w:rPr>
        <w:b/>
        <w:bCs/>
      </w:rPr>
      <w:tblPr/>
      <w:tcPr>
        <w:tcBorders>
          <w:bottom w:val="single" w:sz="4" w:space="0" w:color="5AE6FF" w:themeColor="accent3"/>
        </w:tcBorders>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6Colorful-Accent4">
    <w:name w:val="List Table 6 Colorful Accent 4"/>
    <w:basedOn w:val="TableNormal"/>
    <w:uiPriority w:val="51"/>
    <w:locked/>
    <w:rsid w:val="00095532"/>
    <w:pPr>
      <w:spacing w:line="240" w:lineRule="auto"/>
    </w:pPr>
    <w:rPr>
      <w:color w:val="00163F" w:themeColor="accent4" w:themeShade="BF"/>
    </w:rPr>
    <w:tblPr>
      <w:tblStyleRowBandSize w:val="1"/>
      <w:tblStyleColBandSize w:val="1"/>
      <w:tblBorders>
        <w:top w:val="single" w:sz="4" w:space="0" w:color="001E55" w:themeColor="accent4"/>
        <w:bottom w:val="single" w:sz="4" w:space="0" w:color="001E55" w:themeColor="accent4"/>
      </w:tblBorders>
    </w:tblPr>
    <w:tblStylePr w:type="firstRow">
      <w:rPr>
        <w:b/>
        <w:bCs/>
      </w:rPr>
      <w:tblPr/>
      <w:tcPr>
        <w:tcBorders>
          <w:bottom w:val="single" w:sz="4" w:space="0" w:color="001E55" w:themeColor="accent4"/>
        </w:tcBorders>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6Colorful-Accent5">
    <w:name w:val="List Table 6 Colorful Accent 5"/>
    <w:basedOn w:val="TableNormal"/>
    <w:uiPriority w:val="51"/>
    <w:locked/>
    <w:rsid w:val="00095532"/>
    <w:pPr>
      <w:spacing w:line="240" w:lineRule="auto"/>
    </w:pPr>
    <w:rPr>
      <w:color w:val="7B7B7B" w:themeColor="accent5" w:themeShade="BF"/>
    </w:rPr>
    <w:tblPr>
      <w:tblStyleRowBandSize w:val="1"/>
      <w:tblStyleColBandSize w:val="1"/>
      <w:tblBorders>
        <w:top w:val="single" w:sz="4" w:space="0" w:color="A5A5A5" w:themeColor="accent5"/>
        <w:bottom w:val="single" w:sz="4" w:space="0" w:color="A5A5A5" w:themeColor="accent5"/>
      </w:tblBorders>
    </w:tblPr>
    <w:tblStylePr w:type="firstRow">
      <w:rPr>
        <w:b/>
        <w:bCs/>
      </w:rPr>
      <w:tblPr/>
      <w:tcPr>
        <w:tcBorders>
          <w:bottom w:val="single" w:sz="4" w:space="0" w:color="A5A5A5" w:themeColor="accent5"/>
        </w:tcBorders>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6Colorful-Accent6">
    <w:name w:val="List Table 6 Colorful Accent 6"/>
    <w:basedOn w:val="TableNormal"/>
    <w:uiPriority w:val="51"/>
    <w:locked/>
    <w:rsid w:val="00095532"/>
    <w:pPr>
      <w:spacing w:line="240" w:lineRule="auto"/>
    </w:pPr>
    <w:rPr>
      <w:color w:val="959595" w:themeColor="accent6" w:themeShade="BF"/>
    </w:rPr>
    <w:tblPr>
      <w:tblStyleRowBandSize w:val="1"/>
      <w:tblStyleColBandSize w:val="1"/>
      <w:tblBorders>
        <w:top w:val="single" w:sz="4" w:space="0" w:color="C8C8C8" w:themeColor="accent6"/>
        <w:bottom w:val="single" w:sz="4" w:space="0" w:color="C8C8C8" w:themeColor="accent6"/>
      </w:tblBorders>
    </w:tblPr>
    <w:tblStylePr w:type="firstRow">
      <w:rPr>
        <w:b/>
        <w:bCs/>
      </w:rPr>
      <w:tblPr/>
      <w:tcPr>
        <w:tcBorders>
          <w:bottom w:val="single" w:sz="4" w:space="0" w:color="C8C8C8" w:themeColor="accent6"/>
        </w:tcBorders>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7Colorful">
    <w:name w:val="List Table 7 Colorful"/>
    <w:basedOn w:val="TableNormal"/>
    <w:uiPriority w:val="52"/>
    <w:locked/>
    <w:rsid w:val="00095532"/>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095532"/>
    <w:pPr>
      <w:spacing w:line="240" w:lineRule="auto"/>
    </w:pPr>
    <w:rPr>
      <w:color w:val="1916A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ED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ED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ED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EDC" w:themeColor="accent1"/>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095532"/>
    <w:pPr>
      <w:spacing w:line="240" w:lineRule="auto"/>
    </w:pPr>
    <w:rPr>
      <w:color w:val="005CC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7DF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7DF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7DF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7DFF" w:themeColor="accent2"/>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095532"/>
    <w:pPr>
      <w:spacing w:line="240" w:lineRule="auto"/>
    </w:pPr>
    <w:rPr>
      <w:color w:val="03D8F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E6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E6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E6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E6FF" w:themeColor="accent3"/>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095532"/>
    <w:pPr>
      <w:spacing w:line="240" w:lineRule="auto"/>
    </w:pPr>
    <w:rPr>
      <w:color w:val="00163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1E5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1E5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1E5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1E55" w:themeColor="accent4"/>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095532"/>
    <w:pPr>
      <w:spacing w:line="240" w:lineRule="auto"/>
    </w:pPr>
    <w:rPr>
      <w:color w:val="7B7B7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5"/>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095532"/>
    <w:pPr>
      <w:spacing w:line="240" w:lineRule="auto"/>
    </w:pPr>
    <w:rPr>
      <w:color w:val="95959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6"/>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locked/>
    <w:rsid w:val="00095532"/>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nsolas" w:hAnsi="Consolas"/>
    </w:rPr>
  </w:style>
  <w:style w:type="character" w:customStyle="1" w:styleId="MacroTextChar">
    <w:name w:val="Macro Text Char"/>
    <w:basedOn w:val="DefaultParagraphFont"/>
    <w:link w:val="MacroText"/>
    <w:uiPriority w:val="99"/>
    <w:semiHidden/>
    <w:rsid w:val="00095532"/>
    <w:rPr>
      <w:rFonts w:ascii="Consolas" w:hAnsi="Consolas"/>
    </w:rPr>
  </w:style>
  <w:style w:type="table" w:styleId="MediumGrid1">
    <w:name w:val="Medium Grid 1"/>
    <w:basedOn w:val="TableNormal"/>
    <w:uiPriority w:val="67"/>
    <w:semiHidden/>
    <w:unhideWhenUsed/>
    <w:locked/>
    <w:rsid w:val="0009553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locked/>
    <w:rsid w:val="00095532"/>
    <w:pPr>
      <w:spacing w:line="240" w:lineRule="auto"/>
    </w:pPr>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insideV w:val="single" w:sz="8" w:space="0" w:color="5653E7" w:themeColor="accent1" w:themeTint="BF"/>
      </w:tblBorders>
    </w:tblPr>
    <w:tcPr>
      <w:shd w:val="clear" w:color="auto" w:fill="C7C6F7" w:themeFill="accent1" w:themeFillTint="3F"/>
    </w:tcPr>
    <w:tblStylePr w:type="firstRow">
      <w:rPr>
        <w:b/>
        <w:bCs/>
      </w:rPr>
    </w:tblStylePr>
    <w:tblStylePr w:type="lastRow">
      <w:rPr>
        <w:b/>
        <w:bCs/>
      </w:rPr>
      <w:tblPr/>
      <w:tcPr>
        <w:tcBorders>
          <w:top w:val="single" w:sz="18" w:space="0" w:color="5653E7" w:themeColor="accent1" w:themeTint="BF"/>
        </w:tcBorders>
      </w:tcPr>
    </w:tblStylePr>
    <w:tblStylePr w:type="firstCol">
      <w:rPr>
        <w:b/>
        <w:bCs/>
      </w:rPr>
    </w:tblStylePr>
    <w:tblStylePr w:type="lastCol">
      <w:rPr>
        <w:b/>
        <w:bCs/>
      </w:r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MediumGrid1-Accent2">
    <w:name w:val="Medium Grid 1 Accent 2"/>
    <w:basedOn w:val="TableNormal"/>
    <w:uiPriority w:val="67"/>
    <w:semiHidden/>
    <w:unhideWhenUsed/>
    <w:locked/>
    <w:rsid w:val="00095532"/>
    <w:pPr>
      <w:spacing w:line="240" w:lineRule="auto"/>
    </w:pPr>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insideV w:val="single" w:sz="8" w:space="0" w:color="479DFF" w:themeColor="accent2" w:themeTint="BF"/>
      </w:tblBorders>
    </w:tblPr>
    <w:tcPr>
      <w:shd w:val="clear" w:color="auto" w:fill="C2DEFF" w:themeFill="accent2" w:themeFillTint="3F"/>
    </w:tcPr>
    <w:tblStylePr w:type="firstRow">
      <w:rPr>
        <w:b/>
        <w:bCs/>
      </w:rPr>
    </w:tblStylePr>
    <w:tblStylePr w:type="lastRow">
      <w:rPr>
        <w:b/>
        <w:bCs/>
      </w:rPr>
      <w:tblPr/>
      <w:tcPr>
        <w:tcBorders>
          <w:top w:val="single" w:sz="18" w:space="0" w:color="479DFF" w:themeColor="accent2" w:themeTint="BF"/>
        </w:tcBorders>
      </w:tcPr>
    </w:tblStylePr>
    <w:tblStylePr w:type="firstCol">
      <w:rPr>
        <w:b/>
        <w:bCs/>
      </w:rPr>
    </w:tblStylePr>
    <w:tblStylePr w:type="lastCol">
      <w:rPr>
        <w:b/>
        <w:bCs/>
      </w:r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MediumGrid1-Accent3">
    <w:name w:val="Medium Grid 1 Accent 3"/>
    <w:basedOn w:val="TableNormal"/>
    <w:uiPriority w:val="67"/>
    <w:semiHidden/>
    <w:unhideWhenUsed/>
    <w:locked/>
    <w:rsid w:val="00095532"/>
    <w:pPr>
      <w:spacing w:line="240" w:lineRule="auto"/>
    </w:pPr>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insideV w:val="single" w:sz="8" w:space="0" w:color="83ECFF" w:themeColor="accent3" w:themeTint="BF"/>
      </w:tblBorders>
    </w:tblPr>
    <w:tcPr>
      <w:shd w:val="clear" w:color="auto" w:fill="D6F8FF" w:themeFill="accent3" w:themeFillTint="3F"/>
    </w:tcPr>
    <w:tblStylePr w:type="firstRow">
      <w:rPr>
        <w:b/>
        <w:bCs/>
      </w:rPr>
    </w:tblStylePr>
    <w:tblStylePr w:type="lastRow">
      <w:rPr>
        <w:b/>
        <w:bCs/>
      </w:rPr>
      <w:tblPr/>
      <w:tcPr>
        <w:tcBorders>
          <w:top w:val="single" w:sz="18" w:space="0" w:color="83ECFF" w:themeColor="accent3" w:themeTint="BF"/>
        </w:tcBorders>
      </w:tcPr>
    </w:tblStylePr>
    <w:tblStylePr w:type="firstCol">
      <w:rPr>
        <w:b/>
        <w:bCs/>
      </w:rPr>
    </w:tblStylePr>
    <w:tblStylePr w:type="lastCol">
      <w:rPr>
        <w:b/>
        <w:bCs/>
      </w:r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MediumGrid1-Accent4">
    <w:name w:val="Medium Grid 1 Accent 4"/>
    <w:basedOn w:val="TableNormal"/>
    <w:uiPriority w:val="67"/>
    <w:semiHidden/>
    <w:unhideWhenUsed/>
    <w:locked/>
    <w:rsid w:val="00095532"/>
    <w:pPr>
      <w:spacing w:line="240" w:lineRule="auto"/>
    </w:pPr>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insideV w:val="single" w:sz="8" w:space="0" w:color="0043BF" w:themeColor="accent4" w:themeTint="BF"/>
      </w:tblBorders>
    </w:tblPr>
    <w:tcPr>
      <w:shd w:val="clear" w:color="auto" w:fill="96BBFF" w:themeFill="accent4" w:themeFillTint="3F"/>
    </w:tcPr>
    <w:tblStylePr w:type="firstRow">
      <w:rPr>
        <w:b/>
        <w:bCs/>
      </w:rPr>
    </w:tblStylePr>
    <w:tblStylePr w:type="lastRow">
      <w:rPr>
        <w:b/>
        <w:bCs/>
      </w:rPr>
      <w:tblPr/>
      <w:tcPr>
        <w:tcBorders>
          <w:top w:val="single" w:sz="18" w:space="0" w:color="0043BF" w:themeColor="accent4" w:themeTint="BF"/>
        </w:tcBorders>
      </w:tcPr>
    </w:tblStylePr>
    <w:tblStylePr w:type="firstCol">
      <w:rPr>
        <w:b/>
        <w:bCs/>
      </w:rPr>
    </w:tblStylePr>
    <w:tblStylePr w:type="lastCol">
      <w:rPr>
        <w:b/>
        <w:bCs/>
      </w:r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MediumGrid1-Accent5">
    <w:name w:val="Medium Grid 1 Accent 5"/>
    <w:basedOn w:val="TableNormal"/>
    <w:uiPriority w:val="67"/>
    <w:semiHidden/>
    <w:unhideWhenUsed/>
    <w:locked/>
    <w:rsid w:val="00095532"/>
    <w:pPr>
      <w:spacing w:line="240" w:lineRule="auto"/>
    </w:pPr>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insideV w:val="single" w:sz="8" w:space="0" w:color="BBBBBB" w:themeColor="accent5" w:themeTint="BF"/>
      </w:tblBorders>
    </w:tblPr>
    <w:tcPr>
      <w:shd w:val="clear" w:color="auto" w:fill="E8E8E8" w:themeFill="accent5" w:themeFillTint="3F"/>
    </w:tcPr>
    <w:tblStylePr w:type="firstRow">
      <w:rPr>
        <w:b/>
        <w:bCs/>
      </w:rPr>
    </w:tblStylePr>
    <w:tblStylePr w:type="lastRow">
      <w:rPr>
        <w:b/>
        <w:bCs/>
      </w:rPr>
      <w:tblPr/>
      <w:tcPr>
        <w:tcBorders>
          <w:top w:val="single" w:sz="18" w:space="0" w:color="BBBBBB" w:themeColor="accent5" w:themeTint="BF"/>
        </w:tcBorders>
      </w:tcPr>
    </w:tblStylePr>
    <w:tblStylePr w:type="firstCol">
      <w:rPr>
        <w:b/>
        <w:bCs/>
      </w:rPr>
    </w:tblStylePr>
    <w:tblStylePr w:type="lastCol">
      <w:rPr>
        <w:b/>
        <w:bCs/>
      </w:r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MediumGrid1-Accent6">
    <w:name w:val="Medium Grid 1 Accent 6"/>
    <w:basedOn w:val="TableNormal"/>
    <w:uiPriority w:val="67"/>
    <w:semiHidden/>
    <w:unhideWhenUsed/>
    <w:locked/>
    <w:rsid w:val="00095532"/>
    <w:pPr>
      <w:spacing w:line="240" w:lineRule="auto"/>
    </w:pPr>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insideV w:val="single" w:sz="8" w:space="0" w:color="D5D5D5" w:themeColor="accent6" w:themeTint="BF"/>
      </w:tblBorders>
    </w:tblPr>
    <w:tcPr>
      <w:shd w:val="clear" w:color="auto" w:fill="F1F1F1" w:themeFill="accent6" w:themeFillTint="3F"/>
    </w:tcPr>
    <w:tblStylePr w:type="firstRow">
      <w:rPr>
        <w:b/>
        <w:bCs/>
      </w:rPr>
    </w:tblStylePr>
    <w:tblStylePr w:type="lastRow">
      <w:rPr>
        <w:b/>
        <w:bCs/>
      </w:rPr>
      <w:tblPr/>
      <w:tcPr>
        <w:tcBorders>
          <w:top w:val="single" w:sz="18" w:space="0" w:color="D5D5D5" w:themeColor="accent6" w:themeTint="BF"/>
        </w:tcBorders>
      </w:tcPr>
    </w:tblStylePr>
    <w:tblStylePr w:type="firstCol">
      <w:rPr>
        <w:b/>
        <w:bCs/>
      </w:rPr>
    </w:tblStylePr>
    <w:tblStylePr w:type="lastCol">
      <w:rPr>
        <w:b/>
        <w:bCs/>
      </w:r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MediumGrid2">
    <w:name w:val="Medium Grid 2"/>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cPr>
      <w:shd w:val="clear" w:color="auto" w:fill="C7C6F7" w:themeFill="accent1" w:themeFillTint="3F"/>
    </w:tcPr>
    <w:tblStylePr w:type="firstRow">
      <w:rPr>
        <w:b/>
        <w:bCs/>
        <w:color w:val="000000" w:themeColor="text1"/>
      </w:rPr>
      <w:tblPr/>
      <w:tcPr>
        <w:shd w:val="clear" w:color="auto" w:fill="E8E8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D1F8" w:themeFill="accent1" w:themeFillTint="33"/>
      </w:tcPr>
    </w:tblStylePr>
    <w:tblStylePr w:type="band1Vert">
      <w:tblPr/>
      <w:tcPr>
        <w:shd w:val="clear" w:color="auto" w:fill="8F8CEF" w:themeFill="accent1" w:themeFillTint="7F"/>
      </w:tcPr>
    </w:tblStylePr>
    <w:tblStylePr w:type="band1Horz">
      <w:tblPr/>
      <w:tcPr>
        <w:tcBorders>
          <w:insideH w:val="single" w:sz="6" w:space="0" w:color="231EDC" w:themeColor="accent1"/>
          <w:insideV w:val="single" w:sz="6" w:space="0" w:color="231EDC" w:themeColor="accent1"/>
        </w:tcBorders>
        <w:shd w:val="clear" w:color="auto" w:fill="8F8C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cPr>
      <w:shd w:val="clear" w:color="auto" w:fill="C2DEFF" w:themeFill="accent2" w:themeFillTint="3F"/>
    </w:tcPr>
    <w:tblStylePr w:type="firstRow">
      <w:rPr>
        <w:b/>
        <w:bCs/>
        <w:color w:val="000000" w:themeColor="text1"/>
      </w:rPr>
      <w:tblPr/>
      <w:tcPr>
        <w:shd w:val="clear" w:color="auto" w:fill="E6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E4FF" w:themeFill="accent2" w:themeFillTint="33"/>
      </w:tcPr>
    </w:tblStylePr>
    <w:tblStylePr w:type="band1Vert">
      <w:tblPr/>
      <w:tcPr>
        <w:shd w:val="clear" w:color="auto" w:fill="84BDFF" w:themeFill="accent2" w:themeFillTint="7F"/>
      </w:tcPr>
    </w:tblStylePr>
    <w:tblStylePr w:type="band1Horz">
      <w:tblPr/>
      <w:tcPr>
        <w:tcBorders>
          <w:insideH w:val="single" w:sz="6" w:space="0" w:color="0A7DFF" w:themeColor="accent2"/>
          <w:insideV w:val="single" w:sz="6" w:space="0" w:color="0A7DFF" w:themeColor="accent2"/>
        </w:tcBorders>
        <w:shd w:val="clear" w:color="auto" w:fill="84BD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cPr>
      <w:shd w:val="clear" w:color="auto" w:fill="D6F8FF" w:themeFill="accent3" w:themeFillTint="3F"/>
    </w:tcPr>
    <w:tblStylePr w:type="firstRow">
      <w:rPr>
        <w:b/>
        <w:bCs/>
        <w:color w:val="000000" w:themeColor="text1"/>
      </w:rPr>
      <w:tblPr/>
      <w:tcPr>
        <w:shd w:val="clear" w:color="auto" w:fill="EEFC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9FF" w:themeFill="accent3" w:themeFillTint="33"/>
      </w:tcPr>
    </w:tblStylePr>
    <w:tblStylePr w:type="band1Vert">
      <w:tblPr/>
      <w:tcPr>
        <w:shd w:val="clear" w:color="auto" w:fill="ACF2FF" w:themeFill="accent3" w:themeFillTint="7F"/>
      </w:tcPr>
    </w:tblStylePr>
    <w:tblStylePr w:type="band1Horz">
      <w:tblPr/>
      <w:tcPr>
        <w:tcBorders>
          <w:insideH w:val="single" w:sz="6" w:space="0" w:color="5AE6FF" w:themeColor="accent3"/>
          <w:insideV w:val="single" w:sz="6" w:space="0" w:color="5AE6FF" w:themeColor="accent3"/>
        </w:tcBorders>
        <w:shd w:val="clear" w:color="auto" w:fill="ACF2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cPr>
      <w:shd w:val="clear" w:color="auto" w:fill="96BBFF" w:themeFill="accent4" w:themeFillTint="3F"/>
    </w:tcPr>
    <w:tblStylePr w:type="firstRow">
      <w:rPr>
        <w:b/>
        <w:bCs/>
        <w:color w:val="000000" w:themeColor="text1"/>
      </w:rPr>
      <w:tblPr/>
      <w:tcPr>
        <w:shd w:val="clear" w:color="auto" w:fill="D5E4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C8FF" w:themeFill="accent4" w:themeFillTint="33"/>
      </w:tcPr>
    </w:tblStylePr>
    <w:tblStylePr w:type="band1Vert">
      <w:tblPr/>
      <w:tcPr>
        <w:shd w:val="clear" w:color="auto" w:fill="2B76FF" w:themeFill="accent4" w:themeFillTint="7F"/>
      </w:tcPr>
    </w:tblStylePr>
    <w:tblStylePr w:type="band1Horz">
      <w:tblPr/>
      <w:tcPr>
        <w:tcBorders>
          <w:insideH w:val="single" w:sz="6" w:space="0" w:color="001E55" w:themeColor="accent4"/>
          <w:insideV w:val="single" w:sz="6" w:space="0" w:color="001E55" w:themeColor="accent4"/>
        </w:tcBorders>
        <w:shd w:val="clear" w:color="auto" w:fill="2B76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cPr>
      <w:shd w:val="clear" w:color="auto" w:fill="E8E8E8" w:themeFill="accent5" w:themeFillTint="3F"/>
    </w:tcPr>
    <w:tblStylePr w:type="firstRow">
      <w:rPr>
        <w:b/>
        <w:bCs/>
        <w:color w:val="000000" w:themeColor="text1"/>
      </w:rPr>
      <w:tblPr/>
      <w:tcPr>
        <w:shd w:val="clear" w:color="auto" w:fill="F6F6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5" w:themeFillTint="33"/>
      </w:tcPr>
    </w:tblStylePr>
    <w:tblStylePr w:type="band1Vert">
      <w:tblPr/>
      <w:tcPr>
        <w:shd w:val="clear" w:color="auto" w:fill="D2D2D2" w:themeFill="accent5" w:themeFillTint="7F"/>
      </w:tcPr>
    </w:tblStylePr>
    <w:tblStylePr w:type="band1Horz">
      <w:tblPr/>
      <w:tcPr>
        <w:tcBorders>
          <w:insideH w:val="single" w:sz="6" w:space="0" w:color="A5A5A5" w:themeColor="accent5"/>
          <w:insideV w:val="single" w:sz="6" w:space="0" w:color="A5A5A5" w:themeColor="accent5"/>
        </w:tcBorders>
        <w:shd w:val="clear" w:color="auto" w:fill="D2D2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cPr>
      <w:shd w:val="clear" w:color="auto" w:fill="F1F1F1"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6" w:themeFillTint="33"/>
      </w:tcPr>
    </w:tblStylePr>
    <w:tblStylePr w:type="band1Vert">
      <w:tblPr/>
      <w:tcPr>
        <w:shd w:val="clear" w:color="auto" w:fill="E3E3E3" w:themeFill="accent6" w:themeFillTint="7F"/>
      </w:tcPr>
    </w:tblStylePr>
    <w:tblStylePr w:type="band1Horz">
      <w:tblPr/>
      <w:tcPr>
        <w:tcBorders>
          <w:insideH w:val="single" w:sz="6" w:space="0" w:color="C8C8C8" w:themeColor="accent6"/>
          <w:insideV w:val="single" w:sz="6" w:space="0" w:color="C8C8C8" w:themeColor="accent6"/>
        </w:tcBorders>
        <w:shd w:val="clear" w:color="auto" w:fill="E3E3E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6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E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E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F8CE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F8CEF" w:themeFill="accent1" w:themeFillTint="7F"/>
      </w:tcPr>
    </w:tblStylePr>
  </w:style>
  <w:style w:type="table" w:styleId="MediumGrid3-Accent2">
    <w:name w:val="Medium Grid 3 Accent 2"/>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7DF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7DF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4BD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4BDFF" w:themeFill="accent2" w:themeFillTint="7F"/>
      </w:tcPr>
    </w:tblStylePr>
  </w:style>
  <w:style w:type="table" w:styleId="MediumGrid3-Accent3">
    <w:name w:val="Medium Grid 3 Accent 3"/>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F8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E6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E6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F2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F2FF" w:themeFill="accent3" w:themeFillTint="7F"/>
      </w:tcPr>
    </w:tblStylePr>
  </w:style>
  <w:style w:type="table" w:styleId="MediumGrid3-Accent4">
    <w:name w:val="Medium Grid 3 Accent 4"/>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BB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1E5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1E5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76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76FF" w:themeFill="accent4" w:themeFillTint="7F"/>
      </w:tcPr>
    </w:tblStylePr>
  </w:style>
  <w:style w:type="table" w:styleId="MediumGrid3-Accent5">
    <w:name w:val="Medium Grid 3 Accent 5"/>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5" w:themeFillTint="7F"/>
      </w:tcPr>
    </w:tblStylePr>
  </w:style>
  <w:style w:type="table" w:styleId="MediumGrid3-Accent6">
    <w:name w:val="Medium Grid 3 Accent 6"/>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6" w:themeFillTint="7F"/>
      </w:tcPr>
    </w:tblStylePr>
  </w:style>
  <w:style w:type="table" w:styleId="MediumList1">
    <w:name w:val="Medium List 1"/>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231EDC" w:themeColor="accent1"/>
        <w:bottom w:val="single" w:sz="8" w:space="0" w:color="231EDC" w:themeColor="accent1"/>
      </w:tblBorders>
    </w:tblPr>
    <w:tblStylePr w:type="firstRow">
      <w:rPr>
        <w:rFonts w:asciiTheme="majorHAnsi" w:eastAsiaTheme="majorEastAsia" w:hAnsiTheme="majorHAnsi" w:cstheme="majorBidi"/>
      </w:rPr>
      <w:tblPr/>
      <w:tcPr>
        <w:tcBorders>
          <w:top w:val="nil"/>
          <w:bottom w:val="single" w:sz="8" w:space="0" w:color="231EDC" w:themeColor="accent1"/>
        </w:tcBorders>
      </w:tcPr>
    </w:tblStylePr>
    <w:tblStylePr w:type="lastRow">
      <w:rPr>
        <w:b/>
        <w:bCs/>
        <w:color w:val="333333" w:themeColor="text2"/>
      </w:rPr>
      <w:tblPr/>
      <w:tcPr>
        <w:tcBorders>
          <w:top w:val="single" w:sz="8" w:space="0" w:color="231EDC" w:themeColor="accent1"/>
          <w:bottom w:val="single" w:sz="8" w:space="0" w:color="231EDC" w:themeColor="accent1"/>
        </w:tcBorders>
      </w:tcPr>
    </w:tblStylePr>
    <w:tblStylePr w:type="firstCol">
      <w:rPr>
        <w:b/>
        <w:bCs/>
      </w:rPr>
    </w:tblStylePr>
    <w:tblStylePr w:type="lastCol">
      <w:rPr>
        <w:b/>
        <w:bCs/>
      </w:rPr>
      <w:tblPr/>
      <w:tcPr>
        <w:tcBorders>
          <w:top w:val="single" w:sz="8" w:space="0" w:color="231EDC" w:themeColor="accent1"/>
          <w:bottom w:val="single" w:sz="8" w:space="0" w:color="231EDC" w:themeColor="accent1"/>
        </w:tcBorders>
      </w:tcPr>
    </w:tblStylePr>
    <w:tblStylePr w:type="band1Vert">
      <w:tblPr/>
      <w:tcPr>
        <w:shd w:val="clear" w:color="auto" w:fill="C7C6F7" w:themeFill="accent1" w:themeFillTint="3F"/>
      </w:tcPr>
    </w:tblStylePr>
    <w:tblStylePr w:type="band1Horz">
      <w:tblPr/>
      <w:tcPr>
        <w:shd w:val="clear" w:color="auto" w:fill="C7C6F7" w:themeFill="accent1" w:themeFillTint="3F"/>
      </w:tcPr>
    </w:tblStylePr>
  </w:style>
  <w:style w:type="table" w:styleId="MediumList1-Accent2">
    <w:name w:val="Medium List 1 Accent 2"/>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0A7DFF" w:themeColor="accent2"/>
        <w:bottom w:val="single" w:sz="8" w:space="0" w:color="0A7DFF" w:themeColor="accent2"/>
      </w:tblBorders>
    </w:tblPr>
    <w:tblStylePr w:type="firstRow">
      <w:rPr>
        <w:rFonts w:asciiTheme="majorHAnsi" w:eastAsiaTheme="majorEastAsia" w:hAnsiTheme="majorHAnsi" w:cstheme="majorBidi"/>
      </w:rPr>
      <w:tblPr/>
      <w:tcPr>
        <w:tcBorders>
          <w:top w:val="nil"/>
          <w:bottom w:val="single" w:sz="8" w:space="0" w:color="0A7DFF" w:themeColor="accent2"/>
        </w:tcBorders>
      </w:tcPr>
    </w:tblStylePr>
    <w:tblStylePr w:type="lastRow">
      <w:rPr>
        <w:b/>
        <w:bCs/>
        <w:color w:val="333333" w:themeColor="text2"/>
      </w:rPr>
      <w:tblPr/>
      <w:tcPr>
        <w:tcBorders>
          <w:top w:val="single" w:sz="8" w:space="0" w:color="0A7DFF" w:themeColor="accent2"/>
          <w:bottom w:val="single" w:sz="8" w:space="0" w:color="0A7DFF" w:themeColor="accent2"/>
        </w:tcBorders>
      </w:tcPr>
    </w:tblStylePr>
    <w:tblStylePr w:type="firstCol">
      <w:rPr>
        <w:b/>
        <w:bCs/>
      </w:rPr>
    </w:tblStylePr>
    <w:tblStylePr w:type="lastCol">
      <w:rPr>
        <w:b/>
        <w:bCs/>
      </w:rPr>
      <w:tblPr/>
      <w:tcPr>
        <w:tcBorders>
          <w:top w:val="single" w:sz="8" w:space="0" w:color="0A7DFF" w:themeColor="accent2"/>
          <w:bottom w:val="single" w:sz="8" w:space="0" w:color="0A7DFF" w:themeColor="accent2"/>
        </w:tcBorders>
      </w:tcPr>
    </w:tblStylePr>
    <w:tblStylePr w:type="band1Vert">
      <w:tblPr/>
      <w:tcPr>
        <w:shd w:val="clear" w:color="auto" w:fill="C2DEFF" w:themeFill="accent2" w:themeFillTint="3F"/>
      </w:tcPr>
    </w:tblStylePr>
    <w:tblStylePr w:type="band1Horz">
      <w:tblPr/>
      <w:tcPr>
        <w:shd w:val="clear" w:color="auto" w:fill="C2DEFF" w:themeFill="accent2" w:themeFillTint="3F"/>
      </w:tcPr>
    </w:tblStylePr>
  </w:style>
  <w:style w:type="table" w:styleId="MediumList1-Accent3">
    <w:name w:val="Medium List 1 Accent 3"/>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5AE6FF" w:themeColor="accent3"/>
        <w:bottom w:val="single" w:sz="8" w:space="0" w:color="5AE6FF" w:themeColor="accent3"/>
      </w:tblBorders>
    </w:tblPr>
    <w:tblStylePr w:type="firstRow">
      <w:rPr>
        <w:rFonts w:asciiTheme="majorHAnsi" w:eastAsiaTheme="majorEastAsia" w:hAnsiTheme="majorHAnsi" w:cstheme="majorBidi"/>
      </w:rPr>
      <w:tblPr/>
      <w:tcPr>
        <w:tcBorders>
          <w:top w:val="nil"/>
          <w:bottom w:val="single" w:sz="8" w:space="0" w:color="5AE6FF" w:themeColor="accent3"/>
        </w:tcBorders>
      </w:tcPr>
    </w:tblStylePr>
    <w:tblStylePr w:type="lastRow">
      <w:rPr>
        <w:b/>
        <w:bCs/>
        <w:color w:val="333333" w:themeColor="text2"/>
      </w:rPr>
      <w:tblPr/>
      <w:tcPr>
        <w:tcBorders>
          <w:top w:val="single" w:sz="8" w:space="0" w:color="5AE6FF" w:themeColor="accent3"/>
          <w:bottom w:val="single" w:sz="8" w:space="0" w:color="5AE6FF" w:themeColor="accent3"/>
        </w:tcBorders>
      </w:tcPr>
    </w:tblStylePr>
    <w:tblStylePr w:type="firstCol">
      <w:rPr>
        <w:b/>
        <w:bCs/>
      </w:rPr>
    </w:tblStylePr>
    <w:tblStylePr w:type="lastCol">
      <w:rPr>
        <w:b/>
        <w:bCs/>
      </w:rPr>
      <w:tblPr/>
      <w:tcPr>
        <w:tcBorders>
          <w:top w:val="single" w:sz="8" w:space="0" w:color="5AE6FF" w:themeColor="accent3"/>
          <w:bottom w:val="single" w:sz="8" w:space="0" w:color="5AE6FF" w:themeColor="accent3"/>
        </w:tcBorders>
      </w:tcPr>
    </w:tblStylePr>
    <w:tblStylePr w:type="band1Vert">
      <w:tblPr/>
      <w:tcPr>
        <w:shd w:val="clear" w:color="auto" w:fill="D6F8FF" w:themeFill="accent3" w:themeFillTint="3F"/>
      </w:tcPr>
    </w:tblStylePr>
    <w:tblStylePr w:type="band1Horz">
      <w:tblPr/>
      <w:tcPr>
        <w:shd w:val="clear" w:color="auto" w:fill="D6F8FF" w:themeFill="accent3" w:themeFillTint="3F"/>
      </w:tcPr>
    </w:tblStylePr>
  </w:style>
  <w:style w:type="table" w:styleId="MediumList1-Accent4">
    <w:name w:val="Medium List 1 Accent 4"/>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001E55" w:themeColor="accent4"/>
        <w:bottom w:val="single" w:sz="8" w:space="0" w:color="001E55" w:themeColor="accent4"/>
      </w:tblBorders>
    </w:tblPr>
    <w:tblStylePr w:type="firstRow">
      <w:rPr>
        <w:rFonts w:asciiTheme="majorHAnsi" w:eastAsiaTheme="majorEastAsia" w:hAnsiTheme="majorHAnsi" w:cstheme="majorBidi"/>
      </w:rPr>
      <w:tblPr/>
      <w:tcPr>
        <w:tcBorders>
          <w:top w:val="nil"/>
          <w:bottom w:val="single" w:sz="8" w:space="0" w:color="001E55" w:themeColor="accent4"/>
        </w:tcBorders>
      </w:tcPr>
    </w:tblStylePr>
    <w:tblStylePr w:type="lastRow">
      <w:rPr>
        <w:b/>
        <w:bCs/>
        <w:color w:val="333333" w:themeColor="text2"/>
      </w:rPr>
      <w:tblPr/>
      <w:tcPr>
        <w:tcBorders>
          <w:top w:val="single" w:sz="8" w:space="0" w:color="001E55" w:themeColor="accent4"/>
          <w:bottom w:val="single" w:sz="8" w:space="0" w:color="001E55" w:themeColor="accent4"/>
        </w:tcBorders>
      </w:tcPr>
    </w:tblStylePr>
    <w:tblStylePr w:type="firstCol">
      <w:rPr>
        <w:b/>
        <w:bCs/>
      </w:rPr>
    </w:tblStylePr>
    <w:tblStylePr w:type="lastCol">
      <w:rPr>
        <w:b/>
        <w:bCs/>
      </w:rPr>
      <w:tblPr/>
      <w:tcPr>
        <w:tcBorders>
          <w:top w:val="single" w:sz="8" w:space="0" w:color="001E55" w:themeColor="accent4"/>
          <w:bottom w:val="single" w:sz="8" w:space="0" w:color="001E55" w:themeColor="accent4"/>
        </w:tcBorders>
      </w:tcPr>
    </w:tblStylePr>
    <w:tblStylePr w:type="band1Vert">
      <w:tblPr/>
      <w:tcPr>
        <w:shd w:val="clear" w:color="auto" w:fill="96BBFF" w:themeFill="accent4" w:themeFillTint="3F"/>
      </w:tcPr>
    </w:tblStylePr>
    <w:tblStylePr w:type="band1Horz">
      <w:tblPr/>
      <w:tcPr>
        <w:shd w:val="clear" w:color="auto" w:fill="96BBFF" w:themeFill="accent4" w:themeFillTint="3F"/>
      </w:tcPr>
    </w:tblStylePr>
  </w:style>
  <w:style w:type="table" w:styleId="MediumList1-Accent5">
    <w:name w:val="Medium List 1 Accent 5"/>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A5A5A5" w:themeColor="accent5"/>
        <w:bottom w:val="single" w:sz="8" w:space="0" w:color="A5A5A5" w:themeColor="accent5"/>
      </w:tblBorders>
    </w:tblPr>
    <w:tblStylePr w:type="firstRow">
      <w:rPr>
        <w:rFonts w:asciiTheme="majorHAnsi" w:eastAsiaTheme="majorEastAsia" w:hAnsiTheme="majorHAnsi" w:cstheme="majorBidi"/>
      </w:rPr>
      <w:tblPr/>
      <w:tcPr>
        <w:tcBorders>
          <w:top w:val="nil"/>
          <w:bottom w:val="single" w:sz="8" w:space="0" w:color="A5A5A5" w:themeColor="accent5"/>
        </w:tcBorders>
      </w:tcPr>
    </w:tblStylePr>
    <w:tblStylePr w:type="lastRow">
      <w:rPr>
        <w:b/>
        <w:bCs/>
        <w:color w:val="333333" w:themeColor="text2"/>
      </w:rPr>
      <w:tblPr/>
      <w:tcPr>
        <w:tcBorders>
          <w:top w:val="single" w:sz="8" w:space="0" w:color="A5A5A5" w:themeColor="accent5"/>
          <w:bottom w:val="single" w:sz="8" w:space="0" w:color="A5A5A5" w:themeColor="accent5"/>
        </w:tcBorders>
      </w:tcPr>
    </w:tblStylePr>
    <w:tblStylePr w:type="firstCol">
      <w:rPr>
        <w:b/>
        <w:bCs/>
      </w:rPr>
    </w:tblStylePr>
    <w:tblStylePr w:type="lastCol">
      <w:rPr>
        <w:b/>
        <w:bCs/>
      </w:rPr>
      <w:tblPr/>
      <w:tcPr>
        <w:tcBorders>
          <w:top w:val="single" w:sz="8" w:space="0" w:color="A5A5A5" w:themeColor="accent5"/>
          <w:bottom w:val="single" w:sz="8" w:space="0" w:color="A5A5A5" w:themeColor="accent5"/>
        </w:tcBorders>
      </w:tcPr>
    </w:tblStylePr>
    <w:tblStylePr w:type="band1Vert">
      <w:tblPr/>
      <w:tcPr>
        <w:shd w:val="clear" w:color="auto" w:fill="E8E8E8" w:themeFill="accent5" w:themeFillTint="3F"/>
      </w:tcPr>
    </w:tblStylePr>
    <w:tblStylePr w:type="band1Horz">
      <w:tblPr/>
      <w:tcPr>
        <w:shd w:val="clear" w:color="auto" w:fill="E8E8E8" w:themeFill="accent5" w:themeFillTint="3F"/>
      </w:tcPr>
    </w:tblStylePr>
  </w:style>
  <w:style w:type="table" w:styleId="MediumList1-Accent6">
    <w:name w:val="Medium List 1 Accent 6"/>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C8C8C8" w:themeColor="accent6"/>
        <w:bottom w:val="single" w:sz="8" w:space="0" w:color="C8C8C8" w:themeColor="accent6"/>
      </w:tblBorders>
    </w:tblPr>
    <w:tblStylePr w:type="firstRow">
      <w:rPr>
        <w:rFonts w:asciiTheme="majorHAnsi" w:eastAsiaTheme="majorEastAsia" w:hAnsiTheme="majorHAnsi" w:cstheme="majorBidi"/>
      </w:rPr>
      <w:tblPr/>
      <w:tcPr>
        <w:tcBorders>
          <w:top w:val="nil"/>
          <w:bottom w:val="single" w:sz="8" w:space="0" w:color="C8C8C8" w:themeColor="accent6"/>
        </w:tcBorders>
      </w:tcPr>
    </w:tblStylePr>
    <w:tblStylePr w:type="lastRow">
      <w:rPr>
        <w:b/>
        <w:bCs/>
        <w:color w:val="333333" w:themeColor="text2"/>
      </w:rPr>
      <w:tblPr/>
      <w:tcPr>
        <w:tcBorders>
          <w:top w:val="single" w:sz="8" w:space="0" w:color="C8C8C8" w:themeColor="accent6"/>
          <w:bottom w:val="single" w:sz="8" w:space="0" w:color="C8C8C8" w:themeColor="accent6"/>
        </w:tcBorders>
      </w:tcPr>
    </w:tblStylePr>
    <w:tblStylePr w:type="firstCol">
      <w:rPr>
        <w:b/>
        <w:bCs/>
      </w:rPr>
    </w:tblStylePr>
    <w:tblStylePr w:type="lastCol">
      <w:rPr>
        <w:b/>
        <w:bCs/>
      </w:rPr>
      <w:tblPr/>
      <w:tcPr>
        <w:tcBorders>
          <w:top w:val="single" w:sz="8" w:space="0" w:color="C8C8C8" w:themeColor="accent6"/>
          <w:bottom w:val="single" w:sz="8" w:space="0" w:color="C8C8C8" w:themeColor="accent6"/>
        </w:tcBorders>
      </w:tcPr>
    </w:tblStylePr>
    <w:tblStylePr w:type="band1Vert">
      <w:tblPr/>
      <w:tcPr>
        <w:shd w:val="clear" w:color="auto" w:fill="F1F1F1" w:themeFill="accent6" w:themeFillTint="3F"/>
      </w:tcPr>
    </w:tblStylePr>
    <w:tblStylePr w:type="band1Horz">
      <w:tblPr/>
      <w:tcPr>
        <w:shd w:val="clear" w:color="auto" w:fill="F1F1F1" w:themeFill="accent6" w:themeFillTint="3F"/>
      </w:tcPr>
    </w:tblStylePr>
  </w:style>
  <w:style w:type="table" w:styleId="MediumList2">
    <w:name w:val="Medium List 2"/>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rPr>
        <w:sz w:val="24"/>
        <w:szCs w:val="24"/>
      </w:rPr>
      <w:tblPr/>
      <w:tcPr>
        <w:tcBorders>
          <w:top w:val="nil"/>
          <w:left w:val="nil"/>
          <w:bottom w:val="single" w:sz="24" w:space="0" w:color="231ED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EDC" w:themeColor="accent1"/>
          <w:insideH w:val="nil"/>
          <w:insideV w:val="nil"/>
        </w:tcBorders>
        <w:shd w:val="clear" w:color="auto" w:fill="FFFFFF" w:themeFill="background1"/>
      </w:tcPr>
    </w:tblStylePr>
    <w:tblStylePr w:type="lastCol">
      <w:tblPr/>
      <w:tcPr>
        <w:tcBorders>
          <w:top w:val="nil"/>
          <w:left w:val="single" w:sz="8" w:space="0" w:color="231E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top w:val="nil"/>
          <w:bottom w:val="nil"/>
          <w:insideH w:val="nil"/>
          <w:insideV w:val="nil"/>
        </w:tcBorders>
        <w:shd w:val="clear" w:color="auto" w:fill="C7C6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rPr>
        <w:sz w:val="24"/>
        <w:szCs w:val="24"/>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7DFF" w:themeColor="accent2"/>
          <w:insideH w:val="nil"/>
          <w:insideV w:val="nil"/>
        </w:tcBorders>
        <w:shd w:val="clear" w:color="auto" w:fill="FFFFFF" w:themeFill="background1"/>
      </w:tcPr>
    </w:tblStylePr>
    <w:tblStylePr w:type="lastCol">
      <w:tblPr/>
      <w:tcPr>
        <w:tcBorders>
          <w:top w:val="nil"/>
          <w:left w:val="single" w:sz="8" w:space="0" w:color="0A7DF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top w:val="nil"/>
          <w:bottom w:val="nil"/>
          <w:insideH w:val="nil"/>
          <w:insideV w:val="nil"/>
        </w:tcBorders>
        <w:shd w:val="clear" w:color="auto" w:fill="C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rPr>
        <w:sz w:val="24"/>
        <w:szCs w:val="24"/>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E6FF" w:themeColor="accent3"/>
          <w:insideH w:val="nil"/>
          <w:insideV w:val="nil"/>
        </w:tcBorders>
        <w:shd w:val="clear" w:color="auto" w:fill="FFFFFF" w:themeFill="background1"/>
      </w:tcPr>
    </w:tblStylePr>
    <w:tblStylePr w:type="lastCol">
      <w:tblPr/>
      <w:tcPr>
        <w:tcBorders>
          <w:top w:val="nil"/>
          <w:left w:val="single" w:sz="8" w:space="0" w:color="5AE6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top w:val="nil"/>
          <w:bottom w:val="nil"/>
          <w:insideH w:val="nil"/>
          <w:insideV w:val="nil"/>
        </w:tcBorders>
        <w:shd w:val="clear" w:color="auto" w:fill="D6F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rPr>
        <w:sz w:val="24"/>
        <w:szCs w:val="24"/>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1E55" w:themeColor="accent4"/>
          <w:insideH w:val="nil"/>
          <w:insideV w:val="nil"/>
        </w:tcBorders>
        <w:shd w:val="clear" w:color="auto" w:fill="FFFFFF" w:themeFill="background1"/>
      </w:tcPr>
    </w:tblStylePr>
    <w:tblStylePr w:type="lastCol">
      <w:tblPr/>
      <w:tcPr>
        <w:tcBorders>
          <w:top w:val="nil"/>
          <w:left w:val="single" w:sz="8" w:space="0" w:color="001E5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top w:val="nil"/>
          <w:bottom w:val="nil"/>
          <w:insideH w:val="nil"/>
          <w:insideV w:val="nil"/>
        </w:tcBorders>
        <w:shd w:val="clear" w:color="auto" w:fill="96BB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rPr>
        <w:sz w:val="24"/>
        <w:szCs w:val="24"/>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5"/>
          <w:insideH w:val="nil"/>
          <w:insideV w:val="nil"/>
        </w:tcBorders>
        <w:shd w:val="clear" w:color="auto" w:fill="FFFFFF" w:themeFill="background1"/>
      </w:tcPr>
    </w:tblStylePr>
    <w:tblStylePr w:type="lastCol">
      <w:tblPr/>
      <w:tcPr>
        <w:tcBorders>
          <w:top w:val="nil"/>
          <w:left w:val="single" w:sz="8" w:space="0" w:color="A5A5A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top w:val="nil"/>
          <w:bottom w:val="nil"/>
          <w:insideH w:val="nil"/>
          <w:insideV w:val="nil"/>
        </w:tcBorders>
        <w:shd w:val="clear" w:color="auto" w:fill="E8E8E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rPr>
        <w:sz w:val="24"/>
        <w:szCs w:val="24"/>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6"/>
          <w:insideH w:val="nil"/>
          <w:insideV w:val="nil"/>
        </w:tcBorders>
        <w:shd w:val="clear" w:color="auto" w:fill="FFFFFF" w:themeFill="background1"/>
      </w:tcPr>
    </w:tblStylePr>
    <w:tblStylePr w:type="lastCol">
      <w:tblPr/>
      <w:tcPr>
        <w:tcBorders>
          <w:top w:val="nil"/>
          <w:left w:val="single" w:sz="8" w:space="0" w:color="C8C8C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top w:val="nil"/>
          <w:bottom w:val="nil"/>
          <w:insideH w:val="nil"/>
          <w:insideV w:val="nil"/>
        </w:tcBorders>
        <w:shd w:val="clear" w:color="auto" w:fill="F1F1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locked/>
    <w:rsid w:val="0009553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095532"/>
    <w:pPr>
      <w:spacing w:line="240" w:lineRule="auto"/>
    </w:pPr>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tblBorders>
    </w:tblPr>
    <w:tblStylePr w:type="firstRow">
      <w:pPr>
        <w:spacing w:before="0" w:after="0" w:line="240" w:lineRule="auto"/>
      </w:pPr>
      <w:rPr>
        <w:b/>
        <w:bCs/>
        <w:color w:val="FFFFFF" w:themeColor="background1"/>
      </w:rPr>
      <w:tblPr/>
      <w:tcPr>
        <w:tc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shd w:val="clear" w:color="auto" w:fill="231EDC" w:themeFill="accent1"/>
      </w:tcPr>
    </w:tblStylePr>
    <w:tblStylePr w:type="lastRow">
      <w:pPr>
        <w:spacing w:before="0" w:after="0" w:line="240" w:lineRule="auto"/>
      </w:pPr>
      <w:rPr>
        <w:b/>
        <w:bCs/>
      </w:rPr>
      <w:tblPr/>
      <w:tcPr>
        <w:tcBorders>
          <w:top w:val="double" w:sz="6"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C6F7" w:themeFill="accent1" w:themeFillTint="3F"/>
      </w:tcPr>
    </w:tblStylePr>
    <w:tblStylePr w:type="band1Horz">
      <w:tblPr/>
      <w:tcPr>
        <w:tcBorders>
          <w:insideH w:val="nil"/>
          <w:insideV w:val="nil"/>
        </w:tcBorders>
        <w:shd w:val="clear" w:color="auto" w:fill="C7C6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095532"/>
    <w:pPr>
      <w:spacing w:line="240" w:lineRule="auto"/>
    </w:pPr>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tblBorders>
    </w:tblPr>
    <w:tblStylePr w:type="firstRow">
      <w:pPr>
        <w:spacing w:before="0" w:after="0" w:line="240" w:lineRule="auto"/>
      </w:pPr>
      <w:rPr>
        <w:b/>
        <w:bCs/>
        <w:color w:val="FFFFFF" w:themeColor="background1"/>
      </w:rPr>
      <w:tblPr/>
      <w:tcPr>
        <w:tc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shd w:val="clear" w:color="auto" w:fill="0A7DFF" w:themeFill="accent2"/>
      </w:tcPr>
    </w:tblStylePr>
    <w:tblStylePr w:type="lastRow">
      <w:pPr>
        <w:spacing w:before="0" w:after="0" w:line="240" w:lineRule="auto"/>
      </w:pPr>
      <w:rPr>
        <w:b/>
        <w:bCs/>
      </w:rPr>
      <w:tblPr/>
      <w:tcPr>
        <w:tcBorders>
          <w:top w:val="double" w:sz="6"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C2DEFF" w:themeFill="accent2" w:themeFillTint="3F"/>
      </w:tcPr>
    </w:tblStylePr>
    <w:tblStylePr w:type="band1Horz">
      <w:tblPr/>
      <w:tcPr>
        <w:tcBorders>
          <w:insideH w:val="nil"/>
          <w:insideV w:val="nil"/>
        </w:tcBorders>
        <w:shd w:val="clear" w:color="auto" w:fill="C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095532"/>
    <w:pPr>
      <w:spacing w:line="240" w:lineRule="auto"/>
    </w:pPr>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tblBorders>
    </w:tblPr>
    <w:tblStylePr w:type="firstRow">
      <w:pPr>
        <w:spacing w:before="0" w:after="0" w:line="240" w:lineRule="auto"/>
      </w:pPr>
      <w:rPr>
        <w:b/>
        <w:bCs/>
        <w:color w:val="FFFFFF" w:themeColor="background1"/>
      </w:rPr>
      <w:tblPr/>
      <w:tcPr>
        <w:tc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shd w:val="clear" w:color="auto" w:fill="5AE6FF" w:themeFill="accent3"/>
      </w:tcPr>
    </w:tblStylePr>
    <w:tblStylePr w:type="lastRow">
      <w:pPr>
        <w:spacing w:before="0" w:after="0" w:line="240" w:lineRule="auto"/>
      </w:pPr>
      <w:rPr>
        <w:b/>
        <w:bCs/>
      </w:rPr>
      <w:tblPr/>
      <w:tcPr>
        <w:tcBorders>
          <w:top w:val="double" w:sz="6"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6F8FF" w:themeFill="accent3" w:themeFillTint="3F"/>
      </w:tcPr>
    </w:tblStylePr>
    <w:tblStylePr w:type="band1Horz">
      <w:tblPr/>
      <w:tcPr>
        <w:tcBorders>
          <w:insideH w:val="nil"/>
          <w:insideV w:val="nil"/>
        </w:tcBorders>
        <w:shd w:val="clear" w:color="auto" w:fill="D6F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095532"/>
    <w:pPr>
      <w:spacing w:line="240" w:lineRule="auto"/>
    </w:pPr>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tblBorders>
    </w:tblPr>
    <w:tblStylePr w:type="firstRow">
      <w:pPr>
        <w:spacing w:before="0" w:after="0" w:line="240" w:lineRule="auto"/>
      </w:pPr>
      <w:rPr>
        <w:b/>
        <w:bCs/>
        <w:color w:val="FFFFFF" w:themeColor="background1"/>
      </w:rPr>
      <w:tblPr/>
      <w:tcPr>
        <w:tc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shd w:val="clear" w:color="auto" w:fill="001E55" w:themeFill="accent4"/>
      </w:tcPr>
    </w:tblStylePr>
    <w:tblStylePr w:type="lastRow">
      <w:pPr>
        <w:spacing w:before="0" w:after="0" w:line="240" w:lineRule="auto"/>
      </w:pPr>
      <w:rPr>
        <w:b/>
        <w:bCs/>
      </w:rPr>
      <w:tblPr/>
      <w:tcPr>
        <w:tcBorders>
          <w:top w:val="double" w:sz="6"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6BBFF" w:themeFill="accent4" w:themeFillTint="3F"/>
      </w:tcPr>
    </w:tblStylePr>
    <w:tblStylePr w:type="band1Horz">
      <w:tblPr/>
      <w:tcPr>
        <w:tcBorders>
          <w:insideH w:val="nil"/>
          <w:insideV w:val="nil"/>
        </w:tcBorders>
        <w:shd w:val="clear" w:color="auto" w:fill="96BB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095532"/>
    <w:pPr>
      <w:spacing w:line="240" w:lineRule="auto"/>
    </w:pPr>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tblBorders>
    </w:tblPr>
    <w:tblStylePr w:type="firstRow">
      <w:pPr>
        <w:spacing w:before="0" w:after="0" w:line="240" w:lineRule="auto"/>
      </w:pPr>
      <w:rPr>
        <w:b/>
        <w:bCs/>
        <w:color w:val="FFFFFF" w:themeColor="background1"/>
      </w:rPr>
      <w:tblPr/>
      <w:tcPr>
        <w:tc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shd w:val="clear" w:color="auto" w:fill="A5A5A5" w:themeFill="accent5"/>
      </w:tcPr>
    </w:tblStylePr>
    <w:tblStylePr w:type="lastRow">
      <w:pPr>
        <w:spacing w:before="0" w:after="0" w:line="240" w:lineRule="auto"/>
      </w:pPr>
      <w:rPr>
        <w:b/>
        <w:bCs/>
      </w:rPr>
      <w:tblPr/>
      <w:tcPr>
        <w:tcBorders>
          <w:top w:val="double" w:sz="6"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5" w:themeFillTint="3F"/>
      </w:tcPr>
    </w:tblStylePr>
    <w:tblStylePr w:type="band1Horz">
      <w:tblPr/>
      <w:tcPr>
        <w:tcBorders>
          <w:insideH w:val="nil"/>
          <w:insideV w:val="nil"/>
        </w:tcBorders>
        <w:shd w:val="clear" w:color="auto" w:fill="E8E8E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locked/>
    <w:rsid w:val="00095532"/>
    <w:pPr>
      <w:spacing w:line="240" w:lineRule="auto"/>
    </w:pPr>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tblBorders>
    </w:tblPr>
    <w:tblStylePr w:type="firstRow">
      <w:pPr>
        <w:spacing w:before="0" w:after="0" w:line="240" w:lineRule="auto"/>
      </w:pPr>
      <w:rPr>
        <w:b/>
        <w:bCs/>
        <w:color w:val="FFFFFF" w:themeColor="background1"/>
      </w:rPr>
      <w:tblPr/>
      <w:tcPr>
        <w:tc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shd w:val="clear" w:color="auto" w:fill="C8C8C8" w:themeFill="accent6"/>
      </w:tcPr>
    </w:tblStylePr>
    <w:tblStylePr w:type="lastRow">
      <w:pPr>
        <w:spacing w:before="0" w:after="0" w:line="240" w:lineRule="auto"/>
      </w:pPr>
      <w:rPr>
        <w:b/>
        <w:bCs/>
      </w:rPr>
      <w:tblPr/>
      <w:tcPr>
        <w:tcBorders>
          <w:top w:val="double" w:sz="6"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6" w:themeFillTint="3F"/>
      </w:tcPr>
    </w:tblStylePr>
    <w:tblStylePr w:type="band1Horz">
      <w:tblPr/>
      <w:tcPr>
        <w:tcBorders>
          <w:insideH w:val="nil"/>
          <w:insideV w:val="nil"/>
        </w:tcBorders>
        <w:shd w:val="clear" w:color="auto" w:fill="F1F1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E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1EDC" w:themeFill="accent1"/>
      </w:tcPr>
    </w:tblStylePr>
    <w:tblStylePr w:type="lastCol">
      <w:rPr>
        <w:b/>
        <w:bCs/>
        <w:color w:val="FFFFFF" w:themeColor="background1"/>
      </w:rPr>
      <w:tblPr/>
      <w:tcPr>
        <w:tcBorders>
          <w:left w:val="nil"/>
          <w:right w:val="nil"/>
          <w:insideH w:val="nil"/>
          <w:insideV w:val="nil"/>
        </w:tcBorders>
        <w:shd w:val="clear" w:color="auto" w:fill="231E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7DF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7DFF" w:themeFill="accent2"/>
      </w:tcPr>
    </w:tblStylePr>
    <w:tblStylePr w:type="lastCol">
      <w:rPr>
        <w:b/>
        <w:bCs/>
        <w:color w:val="FFFFFF" w:themeColor="background1"/>
      </w:rPr>
      <w:tblPr/>
      <w:tcPr>
        <w:tcBorders>
          <w:left w:val="nil"/>
          <w:right w:val="nil"/>
          <w:insideH w:val="nil"/>
          <w:insideV w:val="nil"/>
        </w:tcBorders>
        <w:shd w:val="clear" w:color="auto" w:fill="0A7DF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E6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AE6FF" w:themeFill="accent3"/>
      </w:tcPr>
    </w:tblStylePr>
    <w:tblStylePr w:type="lastCol">
      <w:rPr>
        <w:b/>
        <w:bCs/>
        <w:color w:val="FFFFFF" w:themeColor="background1"/>
      </w:rPr>
      <w:tblPr/>
      <w:tcPr>
        <w:tcBorders>
          <w:left w:val="nil"/>
          <w:right w:val="nil"/>
          <w:insideH w:val="nil"/>
          <w:insideV w:val="nil"/>
        </w:tcBorders>
        <w:shd w:val="clear" w:color="auto" w:fill="5AE6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1E5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1E55" w:themeFill="accent4"/>
      </w:tcPr>
    </w:tblStylePr>
    <w:tblStylePr w:type="lastCol">
      <w:rPr>
        <w:b/>
        <w:bCs/>
        <w:color w:val="FFFFFF" w:themeColor="background1"/>
      </w:rPr>
      <w:tblPr/>
      <w:tcPr>
        <w:tcBorders>
          <w:left w:val="nil"/>
          <w:right w:val="nil"/>
          <w:insideH w:val="nil"/>
          <w:insideV w:val="nil"/>
        </w:tcBorders>
        <w:shd w:val="clear" w:color="auto" w:fill="001E5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5"/>
      </w:tcPr>
    </w:tblStylePr>
    <w:tblStylePr w:type="lastCol">
      <w:rPr>
        <w:b/>
        <w:bCs/>
        <w:color w:val="FFFFFF" w:themeColor="background1"/>
      </w:rPr>
      <w:tblPr/>
      <w:tcPr>
        <w:tcBorders>
          <w:left w:val="nil"/>
          <w:right w:val="nil"/>
          <w:insideH w:val="nil"/>
          <w:insideV w:val="nil"/>
        </w:tcBorders>
        <w:shd w:val="clear" w:color="auto" w:fill="A5A5A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C8C8" w:themeFill="accent6"/>
      </w:tcPr>
    </w:tblStylePr>
    <w:tblStylePr w:type="lastCol">
      <w:rPr>
        <w:b/>
        <w:bCs/>
        <w:color w:val="FFFFFF" w:themeColor="background1"/>
      </w:rPr>
      <w:tblPr/>
      <w:tcPr>
        <w:tcBorders>
          <w:left w:val="nil"/>
          <w:right w:val="nil"/>
          <w:insideH w:val="nil"/>
          <w:insideV w:val="nil"/>
        </w:tcBorders>
        <w:shd w:val="clear" w:color="auto" w:fill="C8C8C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locked/>
    <w:rsid w:val="00095532"/>
    <w:rPr>
      <w:color w:val="2B579A"/>
      <w:shd w:val="clear" w:color="auto" w:fill="E6E6E6"/>
    </w:rPr>
  </w:style>
  <w:style w:type="paragraph" w:styleId="MessageHeader">
    <w:name w:val="Message Header"/>
    <w:basedOn w:val="Normal"/>
    <w:link w:val="MessageHeaderChar"/>
    <w:uiPriority w:val="99"/>
    <w:semiHidden/>
    <w:unhideWhenUsed/>
    <w:locked/>
    <w:rsid w:val="00095532"/>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095532"/>
    <w:rPr>
      <w:rFonts w:eastAsiaTheme="majorEastAsia" w:cstheme="majorBidi"/>
      <w:sz w:val="24"/>
      <w:szCs w:val="24"/>
      <w:shd w:val="pct20" w:color="auto" w:fill="auto"/>
    </w:rPr>
  </w:style>
  <w:style w:type="paragraph" w:styleId="NormalWeb">
    <w:name w:val="Normal (Web)"/>
    <w:basedOn w:val="Normal"/>
    <w:uiPriority w:val="99"/>
    <w:semiHidden/>
    <w:unhideWhenUsed/>
    <w:locked/>
    <w:rsid w:val="00095532"/>
    <w:rPr>
      <w:rFonts w:ascii="Times New Roman" w:hAnsi="Times New Roman" w:cs="Times New Roman"/>
      <w:sz w:val="24"/>
      <w:szCs w:val="24"/>
    </w:rPr>
  </w:style>
  <w:style w:type="paragraph" w:styleId="NormalIndent">
    <w:name w:val="Normal Indent"/>
    <w:basedOn w:val="Normal"/>
    <w:uiPriority w:val="99"/>
    <w:semiHidden/>
    <w:unhideWhenUsed/>
    <w:locked/>
    <w:rsid w:val="00095532"/>
    <w:pPr>
      <w:ind w:left="720"/>
    </w:pPr>
  </w:style>
  <w:style w:type="paragraph" w:styleId="NoteHeading">
    <w:name w:val="Note Heading"/>
    <w:basedOn w:val="Normal"/>
    <w:next w:val="Normal"/>
    <w:link w:val="NoteHeadingChar"/>
    <w:uiPriority w:val="99"/>
    <w:semiHidden/>
    <w:unhideWhenUsed/>
    <w:locked/>
    <w:rsid w:val="00095532"/>
  </w:style>
  <w:style w:type="character" w:customStyle="1" w:styleId="NoteHeadingChar">
    <w:name w:val="Note Heading Char"/>
    <w:basedOn w:val="DefaultParagraphFont"/>
    <w:link w:val="NoteHeading"/>
    <w:uiPriority w:val="99"/>
    <w:semiHidden/>
    <w:rsid w:val="00095532"/>
  </w:style>
  <w:style w:type="character" w:styleId="PageNumber">
    <w:name w:val="page number"/>
    <w:basedOn w:val="DefaultParagraphFont"/>
    <w:uiPriority w:val="99"/>
    <w:semiHidden/>
    <w:unhideWhenUsed/>
    <w:locked/>
    <w:rsid w:val="00095532"/>
  </w:style>
  <w:style w:type="table" w:styleId="PlainTable2">
    <w:name w:val="Plain Table 2"/>
    <w:basedOn w:val="TableNormal"/>
    <w:uiPriority w:val="42"/>
    <w:locked/>
    <w:rsid w:val="0009553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locked/>
    <w:rsid w:val="0009553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09553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locked/>
    <w:rsid w:val="00095532"/>
    <w:rPr>
      <w:rFonts w:ascii="Consolas" w:hAnsi="Consolas"/>
      <w:sz w:val="21"/>
      <w:szCs w:val="21"/>
    </w:rPr>
  </w:style>
  <w:style w:type="character" w:customStyle="1" w:styleId="PlainTextChar">
    <w:name w:val="Plain Text Char"/>
    <w:basedOn w:val="DefaultParagraphFont"/>
    <w:link w:val="PlainText"/>
    <w:uiPriority w:val="99"/>
    <w:semiHidden/>
    <w:rsid w:val="00095532"/>
    <w:rPr>
      <w:rFonts w:ascii="Consolas" w:hAnsi="Consolas"/>
      <w:sz w:val="21"/>
      <w:szCs w:val="21"/>
    </w:rPr>
  </w:style>
  <w:style w:type="paragraph" w:styleId="Quote">
    <w:name w:val="Quote"/>
    <w:basedOn w:val="Normal"/>
    <w:next w:val="Normal"/>
    <w:link w:val="QuoteChar"/>
    <w:uiPriority w:val="99"/>
    <w:semiHidden/>
    <w:qFormat/>
    <w:locked/>
    <w:rsid w:val="0009553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095532"/>
    <w:rPr>
      <w:i/>
      <w:iCs/>
      <w:color w:val="404040" w:themeColor="text1" w:themeTint="BF"/>
    </w:rPr>
  </w:style>
  <w:style w:type="paragraph" w:styleId="Salutation">
    <w:name w:val="Salutation"/>
    <w:basedOn w:val="Normal"/>
    <w:next w:val="Normal"/>
    <w:link w:val="SalutationChar"/>
    <w:uiPriority w:val="99"/>
    <w:semiHidden/>
    <w:unhideWhenUsed/>
    <w:locked/>
    <w:rsid w:val="00095532"/>
  </w:style>
  <w:style w:type="character" w:customStyle="1" w:styleId="SalutationChar">
    <w:name w:val="Salutation Char"/>
    <w:basedOn w:val="DefaultParagraphFont"/>
    <w:link w:val="Salutation"/>
    <w:uiPriority w:val="99"/>
    <w:semiHidden/>
    <w:rsid w:val="00095532"/>
  </w:style>
  <w:style w:type="paragraph" w:styleId="Signature">
    <w:name w:val="Signature"/>
    <w:basedOn w:val="Normal"/>
    <w:link w:val="SignatureChar"/>
    <w:uiPriority w:val="99"/>
    <w:semiHidden/>
    <w:unhideWhenUsed/>
    <w:locked/>
    <w:rsid w:val="00095532"/>
    <w:pPr>
      <w:ind w:left="4252"/>
    </w:pPr>
  </w:style>
  <w:style w:type="character" w:customStyle="1" w:styleId="SignatureChar">
    <w:name w:val="Signature Char"/>
    <w:basedOn w:val="DefaultParagraphFont"/>
    <w:link w:val="Signature"/>
    <w:uiPriority w:val="99"/>
    <w:semiHidden/>
    <w:rsid w:val="00095532"/>
  </w:style>
  <w:style w:type="character" w:styleId="SmartHyperlink">
    <w:name w:val="Smart Hyperlink"/>
    <w:basedOn w:val="DefaultParagraphFont"/>
    <w:uiPriority w:val="99"/>
    <w:semiHidden/>
    <w:unhideWhenUsed/>
    <w:locked/>
    <w:rsid w:val="00095532"/>
    <w:rPr>
      <w:u w:val="dotted"/>
    </w:rPr>
  </w:style>
  <w:style w:type="character" w:styleId="Strong">
    <w:name w:val="Strong"/>
    <w:basedOn w:val="DefaultParagraphFont"/>
    <w:uiPriority w:val="22"/>
    <w:qFormat/>
    <w:locked/>
    <w:rsid w:val="00095532"/>
    <w:rPr>
      <w:b/>
      <w:bCs/>
    </w:rPr>
  </w:style>
  <w:style w:type="paragraph" w:styleId="Subtitle">
    <w:name w:val="Subtitle"/>
    <w:basedOn w:val="Normal"/>
    <w:next w:val="Normal"/>
    <w:link w:val="SubtitleChar"/>
    <w:uiPriority w:val="99"/>
    <w:semiHidden/>
    <w:qFormat/>
    <w:locked/>
    <w:rsid w:val="00095532"/>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095532"/>
    <w:rPr>
      <w:color w:val="5A5A5A" w:themeColor="text1" w:themeTint="A5"/>
      <w:spacing w:val="15"/>
    </w:rPr>
  </w:style>
  <w:style w:type="character" w:styleId="SubtleEmphasis">
    <w:name w:val="Subtle Emphasis"/>
    <w:basedOn w:val="DefaultParagraphFont"/>
    <w:uiPriority w:val="99"/>
    <w:semiHidden/>
    <w:qFormat/>
    <w:locked/>
    <w:rsid w:val="00095532"/>
    <w:rPr>
      <w:i/>
      <w:iCs/>
      <w:color w:val="404040" w:themeColor="text1" w:themeTint="BF"/>
    </w:rPr>
  </w:style>
  <w:style w:type="character" w:styleId="SubtleReference">
    <w:name w:val="Subtle Reference"/>
    <w:basedOn w:val="DefaultParagraphFont"/>
    <w:uiPriority w:val="99"/>
    <w:semiHidden/>
    <w:qFormat/>
    <w:locked/>
    <w:rsid w:val="00095532"/>
    <w:rPr>
      <w:smallCaps/>
      <w:color w:val="5A5A5A" w:themeColor="text1" w:themeTint="A5"/>
    </w:rPr>
  </w:style>
  <w:style w:type="table" w:styleId="Table3Deffects1">
    <w:name w:val="Table 3D effects 1"/>
    <w:basedOn w:val="TableNormal"/>
    <w:uiPriority w:val="99"/>
    <w:semiHidden/>
    <w:unhideWhenUsed/>
    <w:locked/>
    <w:rsid w:val="00095532"/>
    <w:pPr>
      <w:spacing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095532"/>
    <w:pPr>
      <w:spacing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095532"/>
    <w:pPr>
      <w:spacing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095532"/>
    <w:pPr>
      <w:spacing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095532"/>
    <w:pPr>
      <w:spacing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095532"/>
    <w:pPr>
      <w:spacing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095532"/>
    <w:pPr>
      <w:spacing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095532"/>
    <w:pPr>
      <w:spacing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095532"/>
    <w:pPr>
      <w:spacing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095532"/>
    <w:pPr>
      <w:spacing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095532"/>
    <w:pPr>
      <w:spacing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095532"/>
    <w:pPr>
      <w:spacing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095532"/>
    <w:pPr>
      <w:spacing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095532"/>
    <w:pPr>
      <w:spacing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095532"/>
    <w:pPr>
      <w:spacing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095532"/>
    <w:pPr>
      <w:spacing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095532"/>
    <w:pPr>
      <w:spacing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locked/>
    <w:rsid w:val="00095532"/>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095532"/>
    <w:pPr>
      <w:spacing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095532"/>
    <w:pPr>
      <w:spacing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095532"/>
    <w:pPr>
      <w:spacing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095532"/>
    <w:pPr>
      <w:spacing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095532"/>
    <w:pPr>
      <w:spacing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095532"/>
    <w:pPr>
      <w:spacing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095532"/>
    <w:pPr>
      <w:spacing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locked/>
    <w:rsid w:val="0009553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locked/>
    <w:rsid w:val="00095532"/>
    <w:pPr>
      <w:spacing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095532"/>
    <w:pPr>
      <w:spacing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095532"/>
    <w:pPr>
      <w:spacing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095532"/>
    <w:pPr>
      <w:spacing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095532"/>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095532"/>
    <w:pPr>
      <w:spacing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095532"/>
    <w:pPr>
      <w:spacing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095532"/>
    <w:pPr>
      <w:spacing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095532"/>
    <w:pPr>
      <w:ind w:left="220" w:hanging="220"/>
    </w:pPr>
  </w:style>
  <w:style w:type="paragraph" w:styleId="TableofFigures">
    <w:name w:val="table of figures"/>
    <w:basedOn w:val="Normal"/>
    <w:next w:val="Normal"/>
    <w:uiPriority w:val="99"/>
    <w:semiHidden/>
    <w:unhideWhenUsed/>
    <w:locked/>
    <w:rsid w:val="00095532"/>
  </w:style>
  <w:style w:type="table" w:styleId="TableProfessional">
    <w:name w:val="Table Professional"/>
    <w:basedOn w:val="TableNormal"/>
    <w:uiPriority w:val="99"/>
    <w:semiHidden/>
    <w:unhideWhenUsed/>
    <w:locked/>
    <w:rsid w:val="00095532"/>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095532"/>
    <w:pPr>
      <w:spacing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095532"/>
    <w:pPr>
      <w:spacing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095532"/>
    <w:pPr>
      <w:spacing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095532"/>
    <w:pPr>
      <w:spacing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095532"/>
    <w:pPr>
      <w:spacing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09553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095532"/>
    <w:pPr>
      <w:spacing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095532"/>
    <w:pPr>
      <w:spacing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095532"/>
    <w:pPr>
      <w:spacing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095532"/>
    <w:pPr>
      <w:spacing w:before="120"/>
    </w:pPr>
    <w:rPr>
      <w:rFonts w:eastAsiaTheme="majorEastAsia" w:cstheme="majorBidi"/>
      <w:b/>
      <w:bCs/>
      <w:sz w:val="24"/>
      <w:szCs w:val="24"/>
    </w:rPr>
  </w:style>
  <w:style w:type="paragraph" w:styleId="TOC4">
    <w:name w:val="toc 4"/>
    <w:basedOn w:val="Normal"/>
    <w:next w:val="Normal"/>
    <w:autoRedefine/>
    <w:uiPriority w:val="99"/>
    <w:semiHidden/>
    <w:locked/>
    <w:rsid w:val="00095532"/>
    <w:pPr>
      <w:spacing w:after="100"/>
      <w:ind w:left="660"/>
    </w:pPr>
  </w:style>
  <w:style w:type="paragraph" w:styleId="TOC5">
    <w:name w:val="toc 5"/>
    <w:basedOn w:val="Normal"/>
    <w:next w:val="Normal"/>
    <w:autoRedefine/>
    <w:uiPriority w:val="99"/>
    <w:semiHidden/>
    <w:locked/>
    <w:rsid w:val="00095532"/>
    <w:pPr>
      <w:spacing w:after="100"/>
      <w:ind w:left="880"/>
    </w:pPr>
  </w:style>
  <w:style w:type="paragraph" w:styleId="TOC6">
    <w:name w:val="toc 6"/>
    <w:basedOn w:val="Normal"/>
    <w:next w:val="Normal"/>
    <w:autoRedefine/>
    <w:uiPriority w:val="99"/>
    <w:semiHidden/>
    <w:locked/>
    <w:rsid w:val="00095532"/>
    <w:pPr>
      <w:spacing w:after="100"/>
      <w:ind w:left="1100"/>
    </w:pPr>
  </w:style>
  <w:style w:type="paragraph" w:styleId="TOC7">
    <w:name w:val="toc 7"/>
    <w:basedOn w:val="Normal"/>
    <w:next w:val="Normal"/>
    <w:autoRedefine/>
    <w:uiPriority w:val="99"/>
    <w:semiHidden/>
    <w:locked/>
    <w:rsid w:val="00095532"/>
    <w:pPr>
      <w:spacing w:after="100"/>
      <w:ind w:left="1320"/>
    </w:pPr>
  </w:style>
  <w:style w:type="paragraph" w:styleId="TOC8">
    <w:name w:val="toc 8"/>
    <w:basedOn w:val="Normal"/>
    <w:next w:val="Normal"/>
    <w:autoRedefine/>
    <w:uiPriority w:val="99"/>
    <w:semiHidden/>
    <w:locked/>
    <w:rsid w:val="00095532"/>
    <w:pPr>
      <w:spacing w:after="100"/>
      <w:ind w:left="1540"/>
    </w:pPr>
  </w:style>
  <w:style w:type="paragraph" w:styleId="TOC9">
    <w:name w:val="toc 9"/>
    <w:basedOn w:val="Normal"/>
    <w:next w:val="Normal"/>
    <w:autoRedefine/>
    <w:uiPriority w:val="99"/>
    <w:semiHidden/>
    <w:locked/>
    <w:rsid w:val="00095532"/>
    <w:pPr>
      <w:spacing w:after="100"/>
      <w:ind w:left="1760"/>
    </w:pPr>
  </w:style>
  <w:style w:type="character" w:styleId="UnresolvedMention">
    <w:name w:val="Unresolved Mention"/>
    <w:basedOn w:val="DefaultParagraphFont"/>
    <w:uiPriority w:val="99"/>
    <w:semiHidden/>
    <w:unhideWhenUsed/>
    <w:locked/>
    <w:rsid w:val="00095532"/>
    <w:rPr>
      <w:color w:val="808080"/>
      <w:shd w:val="clear" w:color="auto" w:fill="E6E6E6"/>
    </w:rPr>
  </w:style>
  <w:style w:type="paragraph" w:customStyle="1" w:styleId="TableNumber2">
    <w:name w:val="Table Number 2"/>
    <w:basedOn w:val="Normal"/>
    <w:uiPriority w:val="5"/>
    <w:rsid w:val="00095532"/>
    <w:pPr>
      <w:numPr>
        <w:ilvl w:val="1"/>
        <w:numId w:val="30"/>
      </w:numPr>
      <w:spacing w:before="40" w:after="40"/>
    </w:pPr>
    <w:rPr>
      <w:rFonts w:asciiTheme="minorHAnsi" w:hAnsiTheme="minorHAnsi"/>
      <w:sz w:val="18"/>
    </w:rPr>
  </w:style>
  <w:style w:type="paragraph" w:customStyle="1" w:styleId="InstructionText">
    <w:name w:val="Instruction Text"/>
    <w:basedOn w:val="Normal"/>
    <w:link w:val="InstructionTextChar"/>
    <w:uiPriority w:val="99"/>
    <w:semiHidden/>
    <w:rsid w:val="00095532"/>
    <w:pPr>
      <w:spacing w:before="120" w:after="120"/>
    </w:pPr>
    <w:rPr>
      <w:rFonts w:ascii="Arial" w:hAnsi="Arial"/>
      <w:i/>
      <w:color w:val="231EDC" w:themeColor="accent1"/>
      <w:sz w:val="18"/>
    </w:rPr>
  </w:style>
  <w:style w:type="character" w:customStyle="1" w:styleId="InstructionTextChar">
    <w:name w:val="Instruction Text Char"/>
    <w:link w:val="InstructionText"/>
    <w:semiHidden/>
    <w:rsid w:val="00095532"/>
    <w:rPr>
      <w:rFonts w:ascii="Arial" w:hAnsi="Arial"/>
      <w:i/>
      <w:color w:val="231EDC" w:themeColor="accent1"/>
      <w:sz w:val="18"/>
    </w:rPr>
  </w:style>
  <w:style w:type="character" w:customStyle="1" w:styleId="AdaButton">
    <w:name w:val="AdaButton"/>
    <w:basedOn w:val="DefaultParagraphFont"/>
    <w:uiPriority w:val="99"/>
    <w:semiHidden/>
    <w:qFormat/>
    <w:rsid w:val="00095532"/>
    <w:rPr>
      <w:b w:val="0"/>
      <w:color w:val="CCFFCC"/>
      <w:sz w:val="40"/>
      <w:bdr w:val="single" w:sz="4" w:space="0" w:color="44546A"/>
      <w:shd w:val="clear" w:color="auto" w:fill="999999"/>
    </w:rPr>
  </w:style>
  <w:style w:type="paragraph" w:customStyle="1" w:styleId="FooterHeading">
    <w:name w:val="Footer Heading"/>
    <w:basedOn w:val="Footer"/>
    <w:next w:val="Footer"/>
    <w:uiPriority w:val="99"/>
    <w:semiHidden/>
    <w:qFormat/>
    <w:rsid w:val="00095532"/>
    <w:rPr>
      <w:b/>
      <w:sz w:val="21"/>
    </w:rPr>
  </w:style>
  <w:style w:type="paragraph" w:customStyle="1" w:styleId="Reference">
    <w:name w:val="Reference"/>
    <w:basedOn w:val="Footer"/>
    <w:uiPriority w:val="99"/>
    <w:semiHidden/>
    <w:qFormat/>
    <w:rsid w:val="00095532"/>
    <w:rPr>
      <w:sz w:val="13"/>
    </w:rPr>
  </w:style>
  <w:style w:type="paragraph" w:customStyle="1" w:styleId="TableNumber3">
    <w:name w:val="Table Number 3"/>
    <w:basedOn w:val="Normal"/>
    <w:uiPriority w:val="5"/>
    <w:rsid w:val="00095532"/>
    <w:pPr>
      <w:numPr>
        <w:ilvl w:val="2"/>
        <w:numId w:val="30"/>
      </w:numPr>
      <w:spacing w:before="40" w:after="40"/>
    </w:pPr>
    <w:rPr>
      <w:rFonts w:asciiTheme="minorHAnsi" w:hAnsiTheme="minorHAnsi"/>
      <w:sz w:val="18"/>
    </w:rPr>
  </w:style>
  <w:style w:type="paragraph" w:customStyle="1" w:styleId="TableBullet2">
    <w:name w:val="Table Bullet 2"/>
    <w:basedOn w:val="Normal"/>
    <w:uiPriority w:val="6"/>
    <w:rsid w:val="00095532"/>
    <w:pPr>
      <w:numPr>
        <w:ilvl w:val="1"/>
        <w:numId w:val="34"/>
      </w:numPr>
      <w:spacing w:before="40" w:after="40"/>
    </w:pPr>
    <w:rPr>
      <w:rFonts w:asciiTheme="minorHAnsi" w:hAnsiTheme="minorHAnsi"/>
      <w:sz w:val="18"/>
    </w:rPr>
  </w:style>
  <w:style w:type="paragraph" w:customStyle="1" w:styleId="TableBullet3">
    <w:name w:val="Table Bullet 3"/>
    <w:basedOn w:val="Normal"/>
    <w:uiPriority w:val="6"/>
    <w:rsid w:val="00095532"/>
    <w:pPr>
      <w:numPr>
        <w:ilvl w:val="2"/>
        <w:numId w:val="34"/>
      </w:numPr>
      <w:spacing w:before="40" w:after="40"/>
    </w:pPr>
    <w:rPr>
      <w:rFonts w:asciiTheme="minorHAnsi" w:hAnsiTheme="minorHAnsi"/>
      <w:sz w:val="18"/>
    </w:rPr>
  </w:style>
  <w:style w:type="numbering" w:customStyle="1" w:styleId="TableNumbers">
    <w:name w:val="Table Numbers"/>
    <w:uiPriority w:val="99"/>
    <w:semiHidden/>
    <w:rsid w:val="00095532"/>
    <w:pPr>
      <w:numPr>
        <w:numId w:val="35"/>
      </w:numPr>
    </w:pPr>
  </w:style>
  <w:style w:type="numbering" w:customStyle="1" w:styleId="TableBullets">
    <w:name w:val="Table Bullets"/>
    <w:uiPriority w:val="99"/>
    <w:semiHidden/>
    <w:rsid w:val="00095532"/>
    <w:pPr>
      <w:numPr>
        <w:numId w:val="20"/>
      </w:numPr>
    </w:pPr>
  </w:style>
  <w:style w:type="numbering" w:customStyle="1" w:styleId="AppendixHeadings">
    <w:name w:val="Appendix Headings"/>
    <w:uiPriority w:val="99"/>
    <w:semiHidden/>
    <w:rsid w:val="00095532"/>
    <w:pPr>
      <w:numPr>
        <w:numId w:val="18"/>
      </w:numPr>
    </w:pPr>
  </w:style>
  <w:style w:type="numbering" w:styleId="111111">
    <w:name w:val="Outline List 2"/>
    <w:basedOn w:val="NoList"/>
    <w:uiPriority w:val="99"/>
    <w:semiHidden/>
    <w:unhideWhenUsed/>
    <w:locked/>
    <w:rsid w:val="000449AA"/>
    <w:pPr>
      <w:numPr>
        <w:numId w:val="16"/>
      </w:numPr>
    </w:pPr>
  </w:style>
  <w:style w:type="numbering" w:styleId="1ai">
    <w:name w:val="Outline List 1"/>
    <w:basedOn w:val="NoList"/>
    <w:uiPriority w:val="99"/>
    <w:semiHidden/>
    <w:unhideWhenUsed/>
    <w:locked/>
    <w:rsid w:val="000449AA"/>
    <w:pPr>
      <w:numPr>
        <w:numId w:val="17"/>
      </w:numPr>
    </w:pPr>
  </w:style>
  <w:style w:type="character" w:styleId="SmartLink">
    <w:name w:val="Smart Link"/>
    <w:basedOn w:val="DefaultParagraphFont"/>
    <w:uiPriority w:val="99"/>
    <w:semiHidden/>
    <w:unhideWhenUsed/>
    <w:rsid w:val="000449AA"/>
    <w:rPr>
      <w:color w:val="0000FF"/>
      <w:u w:val="single"/>
      <w:shd w:val="clear" w:color="auto" w:fill="F3F2F1"/>
    </w:rPr>
  </w:style>
  <w:style w:type="numbering" w:customStyle="1" w:styleId="BodyTextNumbering">
    <w:name w:val="Body Text Numbering"/>
    <w:uiPriority w:val="99"/>
    <w:semiHidden/>
    <w:rsid w:val="00095532"/>
    <w:pPr>
      <w:numPr>
        <w:numId w:val="36"/>
      </w:numPr>
    </w:pPr>
  </w:style>
  <w:style w:type="numbering" w:customStyle="1" w:styleId="Bullets">
    <w:name w:val="Bullets"/>
    <w:uiPriority w:val="99"/>
    <w:semiHidden/>
    <w:rsid w:val="00095532"/>
    <w:pPr>
      <w:numPr>
        <w:numId w:val="38"/>
      </w:numPr>
    </w:pPr>
  </w:style>
  <w:style w:type="paragraph" w:styleId="ListBullet">
    <w:name w:val="List Bullet"/>
    <w:basedOn w:val="Normal"/>
    <w:uiPriority w:val="99"/>
    <w:semiHidden/>
    <w:unhideWhenUsed/>
    <w:qFormat/>
    <w:locked/>
    <w:rsid w:val="00266C2E"/>
    <w:pPr>
      <w:tabs>
        <w:tab w:val="num" w:pos="360"/>
      </w:tabs>
      <w:ind w:left="360" w:hanging="360"/>
      <w:contextualSpacing/>
    </w:pPr>
  </w:style>
  <w:style w:type="paragraph" w:styleId="ListBullet2">
    <w:name w:val="List Bullet 2"/>
    <w:basedOn w:val="Normal"/>
    <w:uiPriority w:val="99"/>
    <w:semiHidden/>
    <w:unhideWhenUsed/>
    <w:qFormat/>
    <w:locked/>
    <w:rsid w:val="00266C2E"/>
    <w:pPr>
      <w:tabs>
        <w:tab w:val="num" w:pos="643"/>
      </w:tabs>
      <w:ind w:left="643" w:hanging="360"/>
      <w:contextualSpacing/>
    </w:pPr>
  </w:style>
  <w:style w:type="paragraph" w:styleId="ListBullet3">
    <w:name w:val="List Bullet 3"/>
    <w:basedOn w:val="Normal"/>
    <w:uiPriority w:val="99"/>
    <w:semiHidden/>
    <w:unhideWhenUsed/>
    <w:locked/>
    <w:rsid w:val="00266C2E"/>
    <w:pPr>
      <w:tabs>
        <w:tab w:val="num" w:pos="926"/>
      </w:tabs>
      <w:ind w:left="926" w:hanging="360"/>
      <w:contextualSpacing/>
    </w:pPr>
  </w:style>
  <w:style w:type="paragraph" w:styleId="ListNumber">
    <w:name w:val="List Number"/>
    <w:basedOn w:val="Normal"/>
    <w:uiPriority w:val="99"/>
    <w:semiHidden/>
    <w:unhideWhenUsed/>
    <w:qFormat/>
    <w:locked/>
    <w:rsid w:val="00266C2E"/>
    <w:pPr>
      <w:tabs>
        <w:tab w:val="num" w:pos="360"/>
      </w:tabs>
      <w:ind w:left="360" w:hanging="360"/>
      <w:contextualSpacing/>
    </w:pPr>
  </w:style>
  <w:style w:type="paragraph" w:styleId="ListNumber2">
    <w:name w:val="List Number 2"/>
    <w:basedOn w:val="Normal"/>
    <w:uiPriority w:val="99"/>
    <w:semiHidden/>
    <w:unhideWhenUsed/>
    <w:qFormat/>
    <w:locked/>
    <w:rsid w:val="00266C2E"/>
    <w:pPr>
      <w:tabs>
        <w:tab w:val="num" w:pos="643"/>
      </w:tabs>
      <w:ind w:left="643" w:hanging="360"/>
      <w:contextualSpacing/>
    </w:pPr>
  </w:style>
  <w:style w:type="paragraph" w:styleId="ListNumber3">
    <w:name w:val="List Number 3"/>
    <w:basedOn w:val="Normal"/>
    <w:uiPriority w:val="99"/>
    <w:semiHidden/>
    <w:unhideWhenUsed/>
    <w:qFormat/>
    <w:locked/>
    <w:rsid w:val="00266C2E"/>
    <w:pPr>
      <w:tabs>
        <w:tab w:val="num" w:pos="926"/>
      </w:tabs>
      <w:ind w:left="926" w:hanging="360"/>
      <w:contextualSpacing/>
    </w:pPr>
  </w:style>
  <w:style w:type="paragraph" w:styleId="ListNumber4">
    <w:name w:val="List Number 4"/>
    <w:basedOn w:val="Normal"/>
    <w:uiPriority w:val="99"/>
    <w:semiHidden/>
    <w:unhideWhenUsed/>
    <w:locked/>
    <w:rsid w:val="00266C2E"/>
    <w:pPr>
      <w:tabs>
        <w:tab w:val="num" w:pos="1209"/>
      </w:tabs>
      <w:ind w:left="1209" w:hanging="360"/>
      <w:contextualSpacing/>
    </w:pPr>
  </w:style>
  <w:style w:type="paragraph" w:customStyle="1" w:styleId="LetterSubject">
    <w:name w:val="Letter Subject"/>
    <w:next w:val="Normal"/>
    <w:uiPriority w:val="99"/>
    <w:semiHidden/>
    <w:rsid w:val="00095532"/>
    <w:pPr>
      <w:spacing w:after="480"/>
    </w:pPr>
    <w:rPr>
      <w:rFonts w:eastAsiaTheme="majorEastAsia" w:cstheme="majorBidi"/>
      <w:b/>
      <w:szCs w:val="32"/>
    </w:rPr>
  </w:style>
  <w:style w:type="paragraph" w:customStyle="1" w:styleId="ProjectDetails">
    <w:name w:val="Project Details"/>
    <w:basedOn w:val="Normal"/>
    <w:next w:val="Normal"/>
    <w:uiPriority w:val="99"/>
    <w:semiHidden/>
    <w:qFormat/>
    <w:rsid w:val="00095532"/>
    <w:pPr>
      <w:spacing w:after="480"/>
      <w:contextualSpacing/>
    </w:pPr>
    <w:rPr>
      <w:rFonts w:eastAsiaTheme="majorEastAsia" w:cstheme="majorBidi"/>
      <w:szCs w:val="32"/>
    </w:rPr>
  </w:style>
  <w:style w:type="paragraph" w:customStyle="1" w:styleId="RecipientDetails">
    <w:name w:val="Recipient Details"/>
    <w:basedOn w:val="Normal"/>
    <w:uiPriority w:val="99"/>
    <w:semiHidden/>
    <w:qFormat/>
    <w:rsid w:val="00095532"/>
    <w:pPr>
      <w:spacing w:before="240" w:after="240"/>
      <w:contextualSpacing/>
    </w:pPr>
  </w:style>
  <w:style w:type="paragraph" w:customStyle="1" w:styleId="LetterDate">
    <w:name w:val="Letter Date"/>
    <w:basedOn w:val="Normal"/>
    <w:uiPriority w:val="99"/>
    <w:semiHidden/>
    <w:rsid w:val="00095532"/>
    <w:pPr>
      <w:spacing w:after="240"/>
    </w:pPr>
  </w:style>
  <w:style w:type="paragraph" w:customStyle="1" w:styleId="Copies">
    <w:name w:val="Copies"/>
    <w:basedOn w:val="BodyText"/>
    <w:uiPriority w:val="99"/>
    <w:semiHidden/>
    <w:qFormat/>
    <w:rsid w:val="00095532"/>
    <w:pPr>
      <w:ind w:left="1134" w:hanging="1134"/>
    </w:pPr>
  </w:style>
  <w:style w:type="paragraph" w:customStyle="1" w:styleId="SenderDetails">
    <w:name w:val="Sender Details"/>
    <w:basedOn w:val="Normal"/>
    <w:next w:val="BodyText"/>
    <w:uiPriority w:val="99"/>
    <w:semiHidden/>
    <w:qFormat/>
    <w:rsid w:val="00095532"/>
    <w:pPr>
      <w:spacing w:before="180" w:after="60" w:line="240" w:lineRule="auto"/>
      <w:contextualSpacing/>
    </w:pPr>
  </w:style>
  <w:style w:type="paragraph" w:customStyle="1" w:styleId="SenderContactDetails">
    <w:name w:val="Sender Contact Details"/>
    <w:basedOn w:val="Normal"/>
    <w:next w:val="BodyText"/>
    <w:uiPriority w:val="99"/>
    <w:semiHidden/>
    <w:qFormat/>
    <w:rsid w:val="00095532"/>
    <w:pPr>
      <w:spacing w:before="180" w:after="60"/>
      <w:contextualSpacing/>
    </w:pPr>
    <w:rPr>
      <w:sz w:val="16"/>
    </w:rPr>
  </w:style>
  <w:style w:type="paragraph" w:customStyle="1" w:styleId="CVResumeBullet2ndLevel">
    <w:name w:val="CV Resume Bullet 2nd Level"/>
    <w:basedOn w:val="CVResumeBullet"/>
    <w:uiPriority w:val="99"/>
    <w:semiHidden/>
    <w:rsid w:val="00095532"/>
    <w:pPr>
      <w:numPr>
        <w:numId w:val="24"/>
      </w:numPr>
      <w:ind w:left="340" w:hanging="170"/>
    </w:pPr>
  </w:style>
  <w:style w:type="paragraph" w:customStyle="1" w:styleId="CVResumeSubcategoryHeading">
    <w:name w:val="CV Resume Subcategory Heading"/>
    <w:basedOn w:val="Normal"/>
    <w:next w:val="Normal"/>
    <w:uiPriority w:val="99"/>
    <w:semiHidden/>
    <w:rsid w:val="00095532"/>
    <w:pPr>
      <w:spacing w:before="120" w:after="120"/>
    </w:pPr>
    <w:rPr>
      <w:color w:val="333333"/>
      <w:sz w:val="22"/>
    </w:rPr>
  </w:style>
  <w:style w:type="paragraph" w:customStyle="1" w:styleId="CVResumeTableText">
    <w:name w:val="CV Resume Table Text"/>
    <w:basedOn w:val="Normal"/>
    <w:uiPriority w:val="99"/>
    <w:semiHidden/>
    <w:rsid w:val="00095532"/>
    <w:pPr>
      <w:spacing w:after="60"/>
    </w:pPr>
    <w:rPr>
      <w:rFonts w:ascii="Jacobs Chronos Light" w:hAnsi="Jacobs Chronos Light"/>
    </w:rPr>
  </w:style>
  <w:style w:type="paragraph" w:customStyle="1" w:styleId="CVResumeName">
    <w:name w:val="CV Resume Name"/>
    <w:uiPriority w:val="99"/>
    <w:semiHidden/>
    <w:rsid w:val="00095532"/>
    <w:pPr>
      <w:spacing w:after="120"/>
    </w:pPr>
    <w:rPr>
      <w:rFonts w:cs="Jacobs Chronos"/>
      <w:b/>
      <w:color w:val="231EDC" w:themeColor="accent1"/>
      <w:sz w:val="32"/>
      <w:szCs w:val="24"/>
    </w:rPr>
  </w:style>
  <w:style w:type="paragraph" w:customStyle="1" w:styleId="CVResumeTitleRole">
    <w:name w:val="CV Resume Title Role"/>
    <w:next w:val="CVResumeHeading"/>
    <w:uiPriority w:val="99"/>
    <w:semiHidden/>
    <w:rsid w:val="00095532"/>
    <w:rPr>
      <w:rFonts w:cs="Jacobs Chronos"/>
      <w:sz w:val="28"/>
      <w:szCs w:val="24"/>
    </w:rPr>
  </w:style>
  <w:style w:type="paragraph" w:customStyle="1" w:styleId="CVResumeBullet">
    <w:name w:val="CV Resume Bullet"/>
    <w:basedOn w:val="CVResumeTableText"/>
    <w:uiPriority w:val="99"/>
    <w:semiHidden/>
    <w:qFormat/>
    <w:rsid w:val="00095532"/>
    <w:pPr>
      <w:numPr>
        <w:numId w:val="23"/>
      </w:numPr>
      <w:ind w:left="170" w:hanging="170"/>
    </w:pPr>
    <w:rPr>
      <w:rFonts w:asciiTheme="minorHAnsi" w:hAnsiTheme="minorHAnsi"/>
    </w:rPr>
  </w:style>
  <w:style w:type="paragraph" w:customStyle="1" w:styleId="CVResumeTableHeading">
    <w:name w:val="CV Resume Table Heading"/>
    <w:basedOn w:val="CVResumeTableText"/>
    <w:next w:val="CVResumeTableText"/>
    <w:uiPriority w:val="99"/>
    <w:semiHidden/>
    <w:rsid w:val="00095532"/>
    <w:rPr>
      <w:rFonts w:asciiTheme="minorHAnsi" w:hAnsiTheme="minorHAnsi" w:cs="Jacobs Chronos Light"/>
      <w:b/>
      <w:color w:val="333333" w:themeColor="text2"/>
    </w:rPr>
  </w:style>
  <w:style w:type="paragraph" w:customStyle="1" w:styleId="CVResumeHeading">
    <w:name w:val="CV Resume Heading"/>
    <w:next w:val="BodyText"/>
    <w:uiPriority w:val="99"/>
    <w:semiHidden/>
    <w:qFormat/>
    <w:rsid w:val="00095532"/>
    <w:pPr>
      <w:spacing w:before="120" w:after="120"/>
    </w:pPr>
    <w:rPr>
      <w:rFonts w:asciiTheme="minorHAnsi" w:hAnsiTheme="minorHAnsi" w:cs="Jacobs Chronos Light"/>
      <w:color w:val="231EDC" w:themeColor="accent1"/>
      <w:sz w:val="24"/>
      <w:szCs w:val="24"/>
    </w:rPr>
  </w:style>
  <w:style w:type="paragraph" w:customStyle="1" w:styleId="CVResumeProjectHeading">
    <w:name w:val="CV Resume Project Heading"/>
    <w:next w:val="BodyText"/>
    <w:uiPriority w:val="99"/>
    <w:semiHidden/>
    <w:rsid w:val="00095532"/>
    <w:pPr>
      <w:spacing w:before="180" w:after="120"/>
    </w:pPr>
    <w:rPr>
      <w:rFonts w:asciiTheme="minorHAnsi" w:hAnsiTheme="minorHAnsi" w:cs="Jacobs Chronos"/>
      <w:b/>
      <w:color w:val="231EDC" w:themeColor="accent1"/>
      <w:sz w:val="22"/>
      <w:szCs w:val="24"/>
    </w:rPr>
  </w:style>
  <w:style w:type="paragraph" w:customStyle="1" w:styleId="AddressText">
    <w:name w:val="Address Text"/>
    <w:basedOn w:val="TableText"/>
    <w:uiPriority w:val="99"/>
    <w:semiHidden/>
    <w:qFormat/>
    <w:rsid w:val="00095532"/>
    <w:pPr>
      <w:spacing w:before="60" w:after="60"/>
    </w:pPr>
  </w:style>
  <w:style w:type="paragraph" w:customStyle="1" w:styleId="PhotologNumber">
    <w:name w:val="Photolog Number"/>
    <w:basedOn w:val="BodyText"/>
    <w:uiPriority w:val="7"/>
    <w:rsid w:val="00095532"/>
    <w:pPr>
      <w:numPr>
        <w:numId w:val="27"/>
      </w:numPr>
    </w:pPr>
    <w:rPr>
      <w:rFonts w:eastAsiaTheme="minorHAnsi"/>
      <w:b/>
    </w:rPr>
  </w:style>
  <w:style w:type="numbering" w:customStyle="1" w:styleId="PhotologNumberList">
    <w:name w:val="Photolog Number List"/>
    <w:uiPriority w:val="99"/>
    <w:semiHidden/>
    <w:rsid w:val="00095532"/>
    <w:pPr>
      <w:numPr>
        <w:numId w:val="25"/>
      </w:numPr>
    </w:pPr>
  </w:style>
  <w:style w:type="paragraph" w:customStyle="1" w:styleId="CapabilityBullet">
    <w:name w:val="Capability Bullet"/>
    <w:uiPriority w:val="99"/>
    <w:semiHidden/>
    <w:qFormat/>
    <w:rsid w:val="00095532"/>
    <w:pPr>
      <w:numPr>
        <w:numId w:val="32"/>
      </w:numPr>
      <w:spacing w:before="40" w:after="40"/>
    </w:pPr>
    <w:rPr>
      <w:rFonts w:cs="Jacobs Chronos"/>
      <w:szCs w:val="24"/>
    </w:rPr>
  </w:style>
  <w:style w:type="paragraph" w:customStyle="1" w:styleId="CapabilityBullet2ndLevel">
    <w:name w:val="Capability Bullet 2nd Level"/>
    <w:basedOn w:val="CapabilityBullet"/>
    <w:uiPriority w:val="99"/>
    <w:semiHidden/>
    <w:rsid w:val="00095532"/>
    <w:pPr>
      <w:numPr>
        <w:ilvl w:val="1"/>
      </w:numPr>
    </w:pPr>
  </w:style>
  <w:style w:type="numbering" w:customStyle="1" w:styleId="CapabilityBullets">
    <w:name w:val="Capability Bullets"/>
    <w:uiPriority w:val="99"/>
    <w:semiHidden/>
    <w:rsid w:val="00095532"/>
    <w:pPr>
      <w:numPr>
        <w:numId w:val="32"/>
      </w:numPr>
    </w:pPr>
  </w:style>
  <w:style w:type="paragraph" w:customStyle="1" w:styleId="ProjectBullet">
    <w:name w:val="Project Bullet"/>
    <w:uiPriority w:val="99"/>
    <w:semiHidden/>
    <w:qFormat/>
    <w:rsid w:val="00095532"/>
    <w:pPr>
      <w:numPr>
        <w:numId w:val="26"/>
      </w:numPr>
      <w:spacing w:after="60"/>
    </w:pPr>
    <w:rPr>
      <w:rFonts w:cs="Jacobs Chronos"/>
      <w:szCs w:val="24"/>
    </w:rPr>
  </w:style>
  <w:style w:type="paragraph" w:customStyle="1" w:styleId="ProjectBullet2ndLevel">
    <w:name w:val="Project Bullet 2nd Level"/>
    <w:basedOn w:val="ProjectBullet"/>
    <w:uiPriority w:val="99"/>
    <w:semiHidden/>
    <w:rsid w:val="00095532"/>
    <w:pPr>
      <w:numPr>
        <w:ilvl w:val="1"/>
      </w:numPr>
    </w:pPr>
  </w:style>
  <w:style w:type="numbering" w:customStyle="1" w:styleId="ProjectBullets">
    <w:name w:val="Project Bullets"/>
    <w:uiPriority w:val="99"/>
    <w:semiHidden/>
    <w:rsid w:val="00095532"/>
    <w:pPr>
      <w:numPr>
        <w:numId w:val="26"/>
      </w:numPr>
    </w:pPr>
  </w:style>
  <w:style w:type="numbering" w:customStyle="1" w:styleId="SingleSequentialNumbering">
    <w:name w:val="Single Sequential Numbering"/>
    <w:uiPriority w:val="99"/>
    <w:semiHidden/>
    <w:rsid w:val="00095532"/>
    <w:pPr>
      <w:numPr>
        <w:numId w:val="28"/>
      </w:numPr>
    </w:pPr>
  </w:style>
  <w:style w:type="paragraph" w:customStyle="1" w:styleId="SourceCitation0">
    <w:name w:val="Source/Citation"/>
    <w:basedOn w:val="Normal"/>
    <w:next w:val="BodyText"/>
    <w:uiPriority w:val="8"/>
    <w:qFormat/>
    <w:rsid w:val="00095532"/>
    <w:pPr>
      <w:spacing w:before="40" w:after="40"/>
    </w:pPr>
    <w:rPr>
      <w:rFonts w:asciiTheme="minorHAnsi" w:hAnsiTheme="minorHAnsi"/>
      <w:i/>
      <w:sz w:val="18"/>
    </w:rPr>
  </w:style>
  <w:style w:type="paragraph" w:customStyle="1" w:styleId="CoverDate">
    <w:name w:val="Cover Date"/>
    <w:basedOn w:val="CoverInformation"/>
    <w:uiPriority w:val="99"/>
    <w:semiHidden/>
    <w:qFormat/>
    <w:rsid w:val="00095532"/>
    <w:pPr>
      <w:spacing w:before="1080"/>
      <w:contextualSpacing w:val="0"/>
      <w:jc w:val="right"/>
    </w:pPr>
  </w:style>
  <w:style w:type="paragraph" w:customStyle="1" w:styleId="CaptionNote">
    <w:name w:val="Caption Note"/>
    <w:basedOn w:val="Normal"/>
    <w:next w:val="BodyText"/>
    <w:uiPriority w:val="99"/>
    <w:semiHidden/>
    <w:rsid w:val="00095532"/>
    <w:pPr>
      <w:keepNext/>
      <w:spacing w:before="40" w:after="40"/>
    </w:pPr>
    <w:rPr>
      <w:rFonts w:asciiTheme="minorHAnsi" w:hAnsiTheme="minorHAnsi"/>
      <w:i/>
    </w:rPr>
  </w:style>
  <w:style w:type="paragraph" w:customStyle="1" w:styleId="PictureCaption">
    <w:name w:val="Picture Caption"/>
    <w:basedOn w:val="FigureCaption"/>
    <w:next w:val="BodyText"/>
    <w:uiPriority w:val="99"/>
    <w:semiHidden/>
    <w:rsid w:val="00095532"/>
  </w:style>
  <w:style w:type="paragraph" w:customStyle="1" w:styleId="Classification">
    <w:name w:val="Classification"/>
    <w:basedOn w:val="HeaderSpacer"/>
    <w:uiPriority w:val="99"/>
    <w:semiHidden/>
    <w:rsid w:val="00095532"/>
    <w:pPr>
      <w:jc w:val="center"/>
    </w:pPr>
  </w:style>
  <w:style w:type="paragraph" w:customStyle="1" w:styleId="ProjectHeading">
    <w:name w:val="Project Heading"/>
    <w:next w:val="Normal"/>
    <w:uiPriority w:val="99"/>
    <w:semiHidden/>
    <w:qFormat/>
    <w:rsid w:val="00095532"/>
    <w:pPr>
      <w:spacing w:before="120" w:after="120"/>
    </w:pPr>
    <w:rPr>
      <w:rFonts w:asciiTheme="minorHAnsi" w:hAnsiTheme="minorHAnsi" w:cs="Jacobs Chronos Light"/>
      <w:color w:val="231EDC" w:themeColor="accent1"/>
      <w:sz w:val="24"/>
    </w:rPr>
  </w:style>
  <w:style w:type="paragraph" w:customStyle="1" w:styleId="EgressHeaderStyleInternalOnlyIdOffice">
    <w:name w:val="EgressHeaderStyleInternalOnlyIdOffice"/>
    <w:basedOn w:val="Normal"/>
    <w:uiPriority w:val="99"/>
    <w:semiHidden/>
    <w:rsid w:val="00095532"/>
    <w:pPr>
      <w:spacing w:line="240" w:lineRule="auto"/>
      <w:jc w:val="center"/>
    </w:pPr>
    <w:rPr>
      <w:rFonts w:ascii="Arial" w:hAnsi="Arial" w:cs="Arial"/>
      <w:b/>
      <w:color w:val="000000"/>
      <w:sz w:val="24"/>
    </w:rPr>
  </w:style>
  <w:style w:type="paragraph" w:customStyle="1" w:styleId="EgressFooterStyleInternalOnlyIdOffice">
    <w:name w:val="EgressFooterStyleInternalOnlyIdOffice"/>
    <w:basedOn w:val="Normal"/>
    <w:uiPriority w:val="99"/>
    <w:semiHidden/>
    <w:rsid w:val="00095532"/>
    <w:pPr>
      <w:spacing w:line="240" w:lineRule="auto"/>
      <w:jc w:val="center"/>
    </w:pPr>
    <w:rPr>
      <w:rFonts w:ascii="Arial" w:hAnsi="Arial" w:cs="Arial"/>
      <w:b/>
      <w:color w:val="000000"/>
      <w:sz w:val="24"/>
    </w:rPr>
  </w:style>
  <w:style w:type="table" w:customStyle="1" w:styleId="JacobsTable1accentprimarythemes">
    <w:name w:val="Jacobs Table 1 (accent &amp; primary themes)"/>
    <w:basedOn w:val="TableNormal"/>
    <w:uiPriority w:val="99"/>
    <w:rsid w:val="00095532"/>
    <w:pPr>
      <w:spacing w:before="40" w:after="40"/>
    </w:pPr>
    <w:rPr>
      <w:rFonts w:asciiTheme="minorHAnsi" w:hAnsiTheme="minorHAnsi"/>
      <w:sz w:val="18"/>
    </w:rPr>
    <w:tblPr>
      <w:tblBorders>
        <w:top w:val="single" w:sz="4" w:space="0" w:color="231EDC" w:themeColor="accent1"/>
        <w:bottom w:val="single" w:sz="4" w:space="0" w:color="231EDC" w:themeColor="accent1"/>
        <w:insideH w:val="single" w:sz="4" w:space="0" w:color="231EDC" w:themeColor="accent1"/>
        <w:insideV w:val="single" w:sz="4" w:space="0" w:color="231EDC" w:themeColor="accent1"/>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shd w:val="clear" w:color="auto" w:fill="231EDC" w:themeFill="accent1"/>
      </w:tcPr>
    </w:tblStylePr>
  </w:style>
  <w:style w:type="table" w:customStyle="1" w:styleId="JacobsTable2accentthemes">
    <w:name w:val="Jacobs Table 2 (accent themes)"/>
    <w:basedOn w:val="TableNormal"/>
    <w:uiPriority w:val="99"/>
    <w:rsid w:val="00095532"/>
    <w:pPr>
      <w:spacing w:before="40" w:after="40"/>
    </w:pPr>
    <w:rPr>
      <w:rFonts w:asciiTheme="minorHAnsi" w:hAnsiTheme="minorHAnsi"/>
      <w:sz w:val="18"/>
    </w:rPr>
    <w:tblPr>
      <w:tblStyleRow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shd w:val="clear" w:color="auto" w:fill="001E55" w:themeFill="accent4"/>
      </w:tcPr>
    </w:tblStylePr>
    <w:tblStylePr w:type="firstCol">
      <w:rPr>
        <w:b/>
        <w:color w:val="FFFFFF" w:themeColor="background1"/>
      </w:rPr>
      <w:tblPr/>
      <w:tcPr>
        <w:shd w:val="clear" w:color="auto" w:fill="231EDC" w:themeFill="accent1"/>
      </w:tcPr>
    </w:tblStylePr>
    <w:tblStylePr w:type="band2Horz">
      <w:tblPr/>
      <w:tcPr>
        <w:tcBorders>
          <w:insideV w:val="single" w:sz="4" w:space="0" w:color="FFFFFF" w:themeColor="background1"/>
        </w:tcBorders>
        <w:shd w:val="clear" w:color="auto" w:fill="E6E6E6" w:themeFill="background2"/>
      </w:tcPr>
    </w:tblStylePr>
  </w:style>
  <w:style w:type="table" w:customStyle="1" w:styleId="JacobsTable3accentthemes">
    <w:name w:val="Jacobs Table 3 (accent themes)"/>
    <w:basedOn w:val="TableNormal"/>
    <w:uiPriority w:val="99"/>
    <w:rsid w:val="00095532"/>
    <w:pPr>
      <w:spacing w:before="40" w:after="40"/>
    </w:pPr>
    <w:rPr>
      <w:rFonts w:asciiTheme="minorHAnsi" w:hAnsiTheme="minorHAnsi"/>
      <w:sz w:val="18"/>
    </w:rPr>
    <w:tblPr>
      <w:tblStyleRowBandSize w:val="1"/>
      <w:tblBorders>
        <w:top w:val="single" w:sz="4" w:space="0" w:color="5AE6FF" w:themeColor="accent3"/>
        <w:bottom w:val="single" w:sz="4" w:space="0" w:color="5AE6FF" w:themeColor="accent3"/>
        <w:insideH w:val="single" w:sz="4" w:space="0" w:color="5AE6FF" w:themeColor="accent3"/>
        <w:insideV w:val="single" w:sz="4" w:space="0" w:color="5AE6FF" w:themeColor="accent3"/>
      </w:tblBorders>
    </w:tbl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tcBorders>
          <w:top w:val="nil"/>
          <w:left w:val="nil"/>
          <w:bottom w:val="nil"/>
          <w:right w:val="nil"/>
          <w:insideH w:val="nil"/>
          <w:insideV w:val="nil"/>
          <w:tl2br w:val="nil"/>
          <w:tr2bl w:val="nil"/>
        </w:tcBorders>
        <w:shd w:val="clear" w:color="auto" w:fill="001E55" w:themeFill="accent4"/>
      </w:tcPr>
    </w:tblStylePr>
    <w:tblStylePr w:type="band1Horz">
      <w:tblPr/>
      <w:tcPr>
        <w:tcBorders>
          <w:insideV w:val="single" w:sz="4" w:space="0" w:color="FFFFFF" w:themeColor="background1"/>
        </w:tcBorders>
        <w:shd w:val="clear" w:color="auto" w:fill="5AE6FF" w:themeFill="accent3"/>
      </w:tcPr>
    </w:tblStylePr>
  </w:style>
  <w:style w:type="table" w:customStyle="1" w:styleId="JacobsTable2primarythemes">
    <w:name w:val="Jacobs Table 2 (primary themes)"/>
    <w:basedOn w:val="TableNormal"/>
    <w:uiPriority w:val="99"/>
    <w:rsid w:val="00095532"/>
    <w:pPr>
      <w:spacing w:before="40" w:after="40"/>
    </w:pPr>
    <w:rPr>
      <w:rFonts w:asciiTheme="minorHAnsi" w:hAnsiTheme="minorHAnsi"/>
      <w:sz w:val="18"/>
    </w:rPr>
    <w:tblPr>
      <w:tblStyleRow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shd w:val="clear" w:color="auto" w:fill="000000" w:themeFill="text1"/>
      </w:tcPr>
    </w:tblStylePr>
    <w:tblStylePr w:type="firstCol">
      <w:rPr>
        <w:b/>
        <w:color w:val="FFFFFF" w:themeColor="background1"/>
      </w:rPr>
      <w:tblPr/>
      <w:tcPr>
        <w:shd w:val="clear" w:color="auto" w:fill="231EDC" w:themeFill="accent1"/>
      </w:tcPr>
    </w:tblStylePr>
    <w:tblStylePr w:type="band2Horz">
      <w:tblPr/>
      <w:tcPr>
        <w:tcBorders>
          <w:insideV w:val="single" w:sz="4" w:space="0" w:color="FFFFFF" w:themeColor="background1"/>
        </w:tcBorders>
        <w:shd w:val="clear" w:color="auto" w:fill="E6E6E6" w:themeFill="background2"/>
      </w:tcPr>
    </w:tblStylePr>
  </w:style>
  <w:style w:type="table" w:customStyle="1" w:styleId="JacobsTable3primarythemes">
    <w:name w:val="Jacobs Table 3 (primary themes)"/>
    <w:basedOn w:val="TableNormal"/>
    <w:uiPriority w:val="99"/>
    <w:rsid w:val="00095532"/>
    <w:pPr>
      <w:spacing w:before="40" w:after="40"/>
    </w:pPr>
    <w:rPr>
      <w:rFonts w:asciiTheme="minorHAnsi" w:hAnsiTheme="minorHAnsi"/>
      <w:sz w:val="18"/>
    </w:rPr>
    <w:tblPr>
      <w:tblStyleRowBandSize w:val="1"/>
      <w:tblBorders>
        <w:top w:val="single" w:sz="4" w:space="0" w:color="231EDC" w:themeColor="accent1"/>
        <w:bottom w:val="single" w:sz="4" w:space="0" w:color="231EDC" w:themeColor="accent1"/>
        <w:insideH w:val="single" w:sz="4" w:space="0" w:color="231EDC" w:themeColor="accent1"/>
        <w:insideV w:val="single" w:sz="4" w:space="0" w:color="231EDC" w:themeColor="accent1"/>
      </w:tblBorders>
    </w:tbl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nil"/>
          <w:left w:val="nil"/>
          <w:bottom w:val="nil"/>
          <w:right w:val="nil"/>
          <w:insideH w:val="nil"/>
          <w:insideV w:val="nil"/>
          <w:tl2br w:val="nil"/>
          <w:tr2bl w:val="nil"/>
        </w:tcBorders>
        <w:shd w:val="clear" w:color="auto" w:fill="231EDC" w:themeFill="accent1"/>
      </w:tcPr>
    </w:tblStylePr>
    <w:tblStylePr w:type="band1Horz">
      <w:tblPr/>
      <w:tcPr>
        <w:shd w:val="clear" w:color="auto" w:fill="E6E6E6" w:themeFill="background2"/>
      </w:tcPr>
    </w:tblStylePr>
  </w:style>
  <w:style w:type="paragraph" w:customStyle="1" w:styleId="InstructionNumber">
    <w:name w:val="Instruction Number"/>
    <w:basedOn w:val="InstructionText"/>
    <w:uiPriority w:val="99"/>
    <w:semiHidden/>
    <w:qFormat/>
    <w:rsid w:val="00095532"/>
    <w:pPr>
      <w:numPr>
        <w:numId w:val="33"/>
      </w:numPr>
    </w:pPr>
  </w:style>
  <w:style w:type="paragraph" w:customStyle="1" w:styleId="InstructionBullet">
    <w:name w:val="Instruction Bullet"/>
    <w:basedOn w:val="InstructionText"/>
    <w:uiPriority w:val="99"/>
    <w:semiHidden/>
    <w:qFormat/>
    <w:rsid w:val="00095532"/>
    <w:pPr>
      <w:numPr>
        <w:ilvl w:val="1"/>
        <w:numId w:val="33"/>
      </w:numPr>
    </w:pPr>
  </w:style>
  <w:style w:type="numbering" w:customStyle="1" w:styleId="InstructionNumbering">
    <w:name w:val="Instruction Numbering"/>
    <w:uiPriority w:val="99"/>
    <w:semiHidden/>
    <w:rsid w:val="00095532"/>
    <w:pPr>
      <w:numPr>
        <w:numId w:val="33"/>
      </w:numPr>
    </w:pPr>
  </w:style>
  <w:style w:type="paragraph" w:customStyle="1" w:styleId="ProjectTableText">
    <w:name w:val="Project Table Text"/>
    <w:uiPriority w:val="99"/>
    <w:semiHidden/>
    <w:qFormat/>
    <w:rsid w:val="00095532"/>
    <w:rPr>
      <w:rFonts w:asciiTheme="minorHAnsi" w:hAnsiTheme="minorHAnsi"/>
    </w:rPr>
  </w:style>
  <w:style w:type="paragraph" w:customStyle="1" w:styleId="ProjectName">
    <w:name w:val="Project Name"/>
    <w:uiPriority w:val="99"/>
    <w:semiHidden/>
    <w:rsid w:val="00095532"/>
    <w:pPr>
      <w:spacing w:after="120"/>
    </w:pPr>
    <w:rPr>
      <w:rFonts w:cs="Jacobs Chronos"/>
      <w:b/>
      <w:color w:val="231EDC" w:themeColor="accent1"/>
      <w:sz w:val="32"/>
    </w:rPr>
  </w:style>
  <w:style w:type="paragraph" w:customStyle="1" w:styleId="ProjectLocation">
    <w:name w:val="Project Location"/>
    <w:next w:val="BodyText"/>
    <w:uiPriority w:val="99"/>
    <w:semiHidden/>
    <w:rsid w:val="00095532"/>
    <w:rPr>
      <w:rFonts w:cs="Jacobs Chronos"/>
      <w:sz w:val="28"/>
    </w:rPr>
  </w:style>
  <w:style w:type="paragraph" w:customStyle="1" w:styleId="ProjectSubcategoryHeading">
    <w:name w:val="Project Subcategory Heading"/>
    <w:next w:val="BodyText"/>
    <w:uiPriority w:val="99"/>
    <w:semiHidden/>
    <w:rsid w:val="00095532"/>
    <w:pPr>
      <w:spacing w:before="120" w:after="120"/>
    </w:pPr>
    <w:rPr>
      <w:rFonts w:cs="Jacobs Chronos"/>
      <w:color w:val="333333"/>
      <w:sz w:val="22"/>
    </w:rPr>
  </w:style>
  <w:style w:type="paragraph" w:customStyle="1" w:styleId="ProjectTableHeading">
    <w:name w:val="Project Table Heading"/>
    <w:basedOn w:val="Normal"/>
    <w:next w:val="Normal"/>
    <w:uiPriority w:val="99"/>
    <w:semiHidden/>
    <w:rsid w:val="00095532"/>
    <w:pPr>
      <w:spacing w:after="60"/>
    </w:pPr>
    <w:rPr>
      <w:rFonts w:asciiTheme="minorHAnsi" w:hAnsiTheme="minorHAnsi" w:cs="Jacobs Chronos Light"/>
      <w:b/>
      <w:color w:val="333333" w:themeColor="text2"/>
    </w:rPr>
  </w:style>
  <w:style w:type="paragraph" w:customStyle="1" w:styleId="CapabilityWhitePaperTitle">
    <w:name w:val="Capability White Paper Title"/>
    <w:uiPriority w:val="99"/>
    <w:semiHidden/>
    <w:rsid w:val="00095532"/>
    <w:pPr>
      <w:spacing w:after="120"/>
      <w:outlineLvl w:val="0"/>
    </w:pPr>
    <w:rPr>
      <w:rFonts w:cs="Jacobs Chronos"/>
      <w:b/>
      <w:color w:val="231EDC" w:themeColor="accent1"/>
      <w:sz w:val="32"/>
      <w:szCs w:val="22"/>
    </w:rPr>
  </w:style>
  <w:style w:type="paragraph" w:customStyle="1" w:styleId="MarketSectorHeading">
    <w:name w:val="Market Sector Heading"/>
    <w:basedOn w:val="Normal"/>
    <w:next w:val="BodyText"/>
    <w:uiPriority w:val="99"/>
    <w:semiHidden/>
    <w:rsid w:val="00095532"/>
    <w:pPr>
      <w:spacing w:before="120" w:after="240"/>
    </w:pPr>
    <w:rPr>
      <w:sz w:val="28"/>
      <w:szCs w:val="22"/>
    </w:rPr>
  </w:style>
  <w:style w:type="paragraph" w:customStyle="1" w:styleId="SubHeading2">
    <w:name w:val="Sub Heading 2"/>
    <w:next w:val="BodyText"/>
    <w:uiPriority w:val="99"/>
    <w:semiHidden/>
    <w:rsid w:val="00095532"/>
    <w:pPr>
      <w:spacing w:before="240" w:after="120"/>
      <w:outlineLvl w:val="1"/>
    </w:pPr>
    <w:rPr>
      <w:rFonts w:cs="Jacobs Chronos Light"/>
      <w:color w:val="333333"/>
      <w:sz w:val="22"/>
      <w:szCs w:val="22"/>
    </w:rPr>
  </w:style>
  <w:style w:type="paragraph" w:customStyle="1" w:styleId="SubHeading">
    <w:name w:val="Sub Heading"/>
    <w:next w:val="Normal"/>
    <w:uiPriority w:val="99"/>
    <w:semiHidden/>
    <w:qFormat/>
    <w:rsid w:val="00095532"/>
    <w:pPr>
      <w:spacing w:before="120" w:after="120"/>
      <w:outlineLvl w:val="0"/>
    </w:pPr>
    <w:rPr>
      <w:rFonts w:asciiTheme="minorHAnsi" w:hAnsiTheme="minorHAnsi" w:cs="Jacobs Chronos Light"/>
      <w:color w:val="231EDC" w:themeColor="accent1"/>
      <w:sz w:val="24"/>
      <w:szCs w:val="22"/>
    </w:rPr>
  </w:style>
  <w:style w:type="paragraph" w:customStyle="1" w:styleId="CapabilityTableHeading">
    <w:name w:val="Capability Table Heading"/>
    <w:basedOn w:val="Normal"/>
    <w:uiPriority w:val="99"/>
    <w:semiHidden/>
    <w:rsid w:val="00095532"/>
    <w:pPr>
      <w:framePr w:hSpace="180" w:wrap="around" w:vAnchor="text" w:hAnchor="text" w:y="-49"/>
      <w:spacing w:before="60" w:after="60"/>
    </w:pPr>
    <w:rPr>
      <w:rFonts w:asciiTheme="minorHAnsi" w:hAnsiTheme="minorHAnsi"/>
      <w:b/>
      <w:szCs w:val="22"/>
    </w:rPr>
  </w:style>
  <w:style w:type="paragraph" w:customStyle="1" w:styleId="CapabilityTableText">
    <w:name w:val="Capability Table Text"/>
    <w:basedOn w:val="BodyText"/>
    <w:uiPriority w:val="99"/>
    <w:semiHidden/>
    <w:rsid w:val="00095532"/>
    <w:pPr>
      <w:spacing w:before="60"/>
    </w:pPr>
    <w:rPr>
      <w:rFonts w:asciiTheme="minorHAnsi" w:hAnsiTheme="minorHAnsi"/>
      <w:szCs w:val="22"/>
    </w:rPr>
  </w:style>
  <w:style w:type="paragraph" w:customStyle="1" w:styleId="AppendixHeading1">
    <w:name w:val="Appendix Heading 1"/>
    <w:basedOn w:val="BodyText"/>
    <w:next w:val="BodyText"/>
    <w:uiPriority w:val="19"/>
    <w:qFormat/>
    <w:rsid w:val="00095532"/>
    <w:pPr>
      <w:keepNext/>
      <w:keepLines/>
      <w:pageBreakBefore/>
      <w:numPr>
        <w:numId w:val="18"/>
      </w:numPr>
      <w:spacing w:before="240" w:after="120"/>
      <w:outlineLvl w:val="0"/>
    </w:pPr>
    <w:rPr>
      <w:b/>
      <w:bCs/>
      <w:color w:val="231EDC" w:themeColor="accent1"/>
      <w:sz w:val="32"/>
      <w:szCs w:val="32"/>
    </w:rPr>
  </w:style>
  <w:style w:type="character" w:customStyle="1" w:styleId="Para0Char">
    <w:name w:val="Para 0 Char"/>
    <w:basedOn w:val="DefaultParagraphFont"/>
    <w:link w:val="Para0"/>
    <w:uiPriority w:val="4"/>
    <w:locked/>
    <w:rsid w:val="000328FC"/>
    <w:rPr>
      <w:rFonts w:ascii="Jacobs Chronos" w:hAnsi="Jacobs Chronos" w:cs="Jacobs Chronos"/>
    </w:rPr>
  </w:style>
  <w:style w:type="paragraph" w:customStyle="1" w:styleId="Para0">
    <w:name w:val="Para 0"/>
    <w:basedOn w:val="Normal"/>
    <w:link w:val="Para0Char"/>
    <w:qFormat/>
    <w:rsid w:val="000328FC"/>
    <w:pPr>
      <w:spacing w:before="240" w:after="120" w:line="240" w:lineRule="atLeast"/>
    </w:pPr>
    <w:rPr>
      <w:rFonts w:ascii="Jacobs Chronos" w:hAnsi="Jacobs Chronos" w:cs="Jacobs Chronos"/>
    </w:rPr>
  </w:style>
  <w:style w:type="paragraph" w:customStyle="1" w:styleId="Figurecaption0">
    <w:name w:val="Figure caption"/>
    <w:basedOn w:val="BodyText"/>
    <w:link w:val="FigurecaptionChar"/>
    <w:uiPriority w:val="99"/>
    <w:qFormat/>
    <w:rsid w:val="00B91CF0"/>
    <w:pPr>
      <w:spacing w:before="360" w:after="60"/>
      <w:ind w:left="227"/>
    </w:pPr>
    <w:rPr>
      <w:rFonts w:asciiTheme="minorHAnsi" w:hAnsiTheme="minorHAnsi"/>
    </w:rPr>
  </w:style>
  <w:style w:type="paragraph" w:customStyle="1" w:styleId="Tabletext0">
    <w:name w:val="Table text"/>
    <w:basedOn w:val="Normal"/>
    <w:uiPriority w:val="14"/>
    <w:qFormat/>
    <w:rsid w:val="007C5275"/>
    <w:pPr>
      <w:spacing w:before="60" w:after="60" w:line="240" w:lineRule="atLeast"/>
    </w:pPr>
    <w:rPr>
      <w:rFonts w:ascii="Jacobs Chronos" w:hAnsi="Jacobs Chronos" w:cs="Jacobs Chronos"/>
      <w:szCs w:val="24"/>
      <w:lang w:eastAsia="en-US"/>
    </w:rPr>
  </w:style>
  <w:style w:type="character" w:customStyle="1" w:styleId="FigurecaptionChar">
    <w:name w:val="Figure caption Char"/>
    <w:basedOn w:val="BodyTextChar"/>
    <w:link w:val="Figurecaption0"/>
    <w:uiPriority w:val="99"/>
    <w:rsid w:val="00B91CF0"/>
    <w:rPr>
      <w:rFonts w:asciiTheme="minorHAnsi" w:hAnsiTheme="minorHAnsi"/>
    </w:rPr>
  </w:style>
  <w:style w:type="table" w:customStyle="1" w:styleId="JacobsBlue">
    <w:name w:val="Jacobs Blue"/>
    <w:basedOn w:val="TableGrid"/>
    <w:uiPriority w:val="99"/>
    <w:rsid w:val="007C5275"/>
    <w:rPr>
      <w:rFonts w:asciiTheme="minorHAnsi" w:hAnsiTheme="minorHAnsi"/>
      <w:sz w:val="24"/>
      <w:szCs w:val="24"/>
      <w:lang w:val="en-US" w:eastAsia="en-US"/>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numbering" w:customStyle="1" w:styleId="JacobsNumberedList12">
    <w:name w:val="Jacobs Numbered List 1.2"/>
    <w:basedOn w:val="NoList"/>
    <w:rsid w:val="00EF7754"/>
    <w:pPr>
      <w:numPr>
        <w:numId w:val="39"/>
      </w:numPr>
    </w:pPr>
  </w:style>
  <w:style w:type="paragraph" w:customStyle="1" w:styleId="Default">
    <w:name w:val="Default"/>
    <w:rsid w:val="000E556F"/>
    <w:pPr>
      <w:suppressAutoHyphens/>
      <w:autoSpaceDE w:val="0"/>
      <w:autoSpaceDN w:val="0"/>
      <w:spacing w:line="240" w:lineRule="auto"/>
      <w:textAlignment w:val="baseline"/>
    </w:pPr>
    <w:rPr>
      <w:rFonts w:ascii="Tahoma" w:eastAsia="Calibri" w:hAnsi="Tahoma" w:cs="Tahoma"/>
      <w:color w:val="000000"/>
      <w:sz w:val="24"/>
      <w:szCs w:val="24"/>
      <w:lang w:eastAsia="en-US"/>
    </w:rPr>
  </w:style>
  <w:style w:type="paragraph" w:customStyle="1" w:styleId="paragraph">
    <w:name w:val="paragraph"/>
    <w:basedOn w:val="Normal"/>
    <w:rsid w:val="00DC6A8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rmaltextrun">
    <w:name w:val="normaltextrun"/>
    <w:basedOn w:val="DefaultParagraphFont"/>
    <w:rsid w:val="00DC6A87"/>
  </w:style>
  <w:style w:type="character" w:customStyle="1" w:styleId="eop">
    <w:name w:val="eop"/>
    <w:basedOn w:val="DefaultParagraphFont"/>
    <w:rsid w:val="00DC6A87"/>
  </w:style>
  <w:style w:type="character" w:customStyle="1" w:styleId="findhit">
    <w:name w:val="findhit"/>
    <w:basedOn w:val="DefaultParagraphFont"/>
    <w:rsid w:val="00BE0991"/>
  </w:style>
  <w:style w:type="paragraph" w:styleId="Revision">
    <w:name w:val="Revision"/>
    <w:hidden/>
    <w:uiPriority w:val="99"/>
    <w:semiHidden/>
    <w:rsid w:val="00DE11B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6389">
      <w:bodyDiv w:val="1"/>
      <w:marLeft w:val="0"/>
      <w:marRight w:val="0"/>
      <w:marTop w:val="0"/>
      <w:marBottom w:val="0"/>
      <w:divBdr>
        <w:top w:val="none" w:sz="0" w:space="0" w:color="auto"/>
        <w:left w:val="none" w:sz="0" w:space="0" w:color="auto"/>
        <w:bottom w:val="none" w:sz="0" w:space="0" w:color="auto"/>
        <w:right w:val="none" w:sz="0" w:space="0" w:color="auto"/>
      </w:divBdr>
    </w:div>
    <w:div w:id="109280384">
      <w:bodyDiv w:val="1"/>
      <w:marLeft w:val="0"/>
      <w:marRight w:val="0"/>
      <w:marTop w:val="0"/>
      <w:marBottom w:val="0"/>
      <w:divBdr>
        <w:top w:val="none" w:sz="0" w:space="0" w:color="auto"/>
        <w:left w:val="none" w:sz="0" w:space="0" w:color="auto"/>
        <w:bottom w:val="none" w:sz="0" w:space="0" w:color="auto"/>
        <w:right w:val="none" w:sz="0" w:space="0" w:color="auto"/>
      </w:divBdr>
      <w:divsChild>
        <w:div w:id="850686419">
          <w:marLeft w:val="0"/>
          <w:marRight w:val="0"/>
          <w:marTop w:val="0"/>
          <w:marBottom w:val="0"/>
          <w:divBdr>
            <w:top w:val="none" w:sz="0" w:space="0" w:color="auto"/>
            <w:left w:val="none" w:sz="0" w:space="0" w:color="auto"/>
            <w:bottom w:val="none" w:sz="0" w:space="0" w:color="auto"/>
            <w:right w:val="none" w:sz="0" w:space="0" w:color="auto"/>
          </w:divBdr>
          <w:divsChild>
            <w:div w:id="719132388">
              <w:marLeft w:val="0"/>
              <w:marRight w:val="0"/>
              <w:marTop w:val="0"/>
              <w:marBottom w:val="0"/>
              <w:divBdr>
                <w:top w:val="none" w:sz="0" w:space="0" w:color="auto"/>
                <w:left w:val="none" w:sz="0" w:space="0" w:color="auto"/>
                <w:bottom w:val="none" w:sz="0" w:space="0" w:color="auto"/>
                <w:right w:val="none" w:sz="0" w:space="0" w:color="auto"/>
              </w:divBdr>
            </w:div>
          </w:divsChild>
        </w:div>
        <w:div w:id="980497645">
          <w:marLeft w:val="0"/>
          <w:marRight w:val="0"/>
          <w:marTop w:val="0"/>
          <w:marBottom w:val="0"/>
          <w:divBdr>
            <w:top w:val="none" w:sz="0" w:space="0" w:color="auto"/>
            <w:left w:val="none" w:sz="0" w:space="0" w:color="auto"/>
            <w:bottom w:val="none" w:sz="0" w:space="0" w:color="auto"/>
            <w:right w:val="none" w:sz="0" w:space="0" w:color="auto"/>
          </w:divBdr>
          <w:divsChild>
            <w:div w:id="1670405598">
              <w:marLeft w:val="0"/>
              <w:marRight w:val="0"/>
              <w:marTop w:val="0"/>
              <w:marBottom w:val="0"/>
              <w:divBdr>
                <w:top w:val="none" w:sz="0" w:space="0" w:color="auto"/>
                <w:left w:val="none" w:sz="0" w:space="0" w:color="auto"/>
                <w:bottom w:val="none" w:sz="0" w:space="0" w:color="auto"/>
                <w:right w:val="none" w:sz="0" w:space="0" w:color="auto"/>
              </w:divBdr>
            </w:div>
          </w:divsChild>
        </w:div>
        <w:div w:id="1674340258">
          <w:marLeft w:val="0"/>
          <w:marRight w:val="0"/>
          <w:marTop w:val="0"/>
          <w:marBottom w:val="0"/>
          <w:divBdr>
            <w:top w:val="none" w:sz="0" w:space="0" w:color="auto"/>
            <w:left w:val="none" w:sz="0" w:space="0" w:color="auto"/>
            <w:bottom w:val="none" w:sz="0" w:space="0" w:color="auto"/>
            <w:right w:val="none" w:sz="0" w:space="0" w:color="auto"/>
          </w:divBdr>
          <w:divsChild>
            <w:div w:id="149491801">
              <w:marLeft w:val="0"/>
              <w:marRight w:val="0"/>
              <w:marTop w:val="0"/>
              <w:marBottom w:val="0"/>
              <w:divBdr>
                <w:top w:val="none" w:sz="0" w:space="0" w:color="auto"/>
                <w:left w:val="none" w:sz="0" w:space="0" w:color="auto"/>
                <w:bottom w:val="none" w:sz="0" w:space="0" w:color="auto"/>
                <w:right w:val="none" w:sz="0" w:space="0" w:color="auto"/>
              </w:divBdr>
            </w:div>
            <w:div w:id="1152064433">
              <w:marLeft w:val="0"/>
              <w:marRight w:val="0"/>
              <w:marTop w:val="0"/>
              <w:marBottom w:val="0"/>
              <w:divBdr>
                <w:top w:val="none" w:sz="0" w:space="0" w:color="auto"/>
                <w:left w:val="none" w:sz="0" w:space="0" w:color="auto"/>
                <w:bottom w:val="none" w:sz="0" w:space="0" w:color="auto"/>
                <w:right w:val="none" w:sz="0" w:space="0" w:color="auto"/>
              </w:divBdr>
            </w:div>
          </w:divsChild>
        </w:div>
        <w:div w:id="1107701407">
          <w:marLeft w:val="0"/>
          <w:marRight w:val="0"/>
          <w:marTop w:val="0"/>
          <w:marBottom w:val="0"/>
          <w:divBdr>
            <w:top w:val="none" w:sz="0" w:space="0" w:color="auto"/>
            <w:left w:val="none" w:sz="0" w:space="0" w:color="auto"/>
            <w:bottom w:val="none" w:sz="0" w:space="0" w:color="auto"/>
            <w:right w:val="none" w:sz="0" w:space="0" w:color="auto"/>
          </w:divBdr>
          <w:divsChild>
            <w:div w:id="1483933557">
              <w:marLeft w:val="0"/>
              <w:marRight w:val="0"/>
              <w:marTop w:val="0"/>
              <w:marBottom w:val="0"/>
              <w:divBdr>
                <w:top w:val="none" w:sz="0" w:space="0" w:color="auto"/>
                <w:left w:val="none" w:sz="0" w:space="0" w:color="auto"/>
                <w:bottom w:val="none" w:sz="0" w:space="0" w:color="auto"/>
                <w:right w:val="none" w:sz="0" w:space="0" w:color="auto"/>
              </w:divBdr>
            </w:div>
            <w:div w:id="232740168">
              <w:marLeft w:val="0"/>
              <w:marRight w:val="0"/>
              <w:marTop w:val="0"/>
              <w:marBottom w:val="0"/>
              <w:divBdr>
                <w:top w:val="none" w:sz="0" w:space="0" w:color="auto"/>
                <w:left w:val="none" w:sz="0" w:space="0" w:color="auto"/>
                <w:bottom w:val="none" w:sz="0" w:space="0" w:color="auto"/>
                <w:right w:val="none" w:sz="0" w:space="0" w:color="auto"/>
              </w:divBdr>
            </w:div>
          </w:divsChild>
        </w:div>
        <w:div w:id="755589430">
          <w:marLeft w:val="0"/>
          <w:marRight w:val="0"/>
          <w:marTop w:val="0"/>
          <w:marBottom w:val="0"/>
          <w:divBdr>
            <w:top w:val="none" w:sz="0" w:space="0" w:color="auto"/>
            <w:left w:val="none" w:sz="0" w:space="0" w:color="auto"/>
            <w:bottom w:val="none" w:sz="0" w:space="0" w:color="auto"/>
            <w:right w:val="none" w:sz="0" w:space="0" w:color="auto"/>
          </w:divBdr>
          <w:divsChild>
            <w:div w:id="274413536">
              <w:marLeft w:val="0"/>
              <w:marRight w:val="0"/>
              <w:marTop w:val="0"/>
              <w:marBottom w:val="0"/>
              <w:divBdr>
                <w:top w:val="none" w:sz="0" w:space="0" w:color="auto"/>
                <w:left w:val="none" w:sz="0" w:space="0" w:color="auto"/>
                <w:bottom w:val="none" w:sz="0" w:space="0" w:color="auto"/>
                <w:right w:val="none" w:sz="0" w:space="0" w:color="auto"/>
              </w:divBdr>
            </w:div>
          </w:divsChild>
        </w:div>
        <w:div w:id="1595476205">
          <w:marLeft w:val="0"/>
          <w:marRight w:val="0"/>
          <w:marTop w:val="0"/>
          <w:marBottom w:val="0"/>
          <w:divBdr>
            <w:top w:val="none" w:sz="0" w:space="0" w:color="auto"/>
            <w:left w:val="none" w:sz="0" w:space="0" w:color="auto"/>
            <w:bottom w:val="none" w:sz="0" w:space="0" w:color="auto"/>
            <w:right w:val="none" w:sz="0" w:space="0" w:color="auto"/>
          </w:divBdr>
          <w:divsChild>
            <w:div w:id="276252679">
              <w:marLeft w:val="0"/>
              <w:marRight w:val="0"/>
              <w:marTop w:val="0"/>
              <w:marBottom w:val="0"/>
              <w:divBdr>
                <w:top w:val="none" w:sz="0" w:space="0" w:color="auto"/>
                <w:left w:val="none" w:sz="0" w:space="0" w:color="auto"/>
                <w:bottom w:val="none" w:sz="0" w:space="0" w:color="auto"/>
                <w:right w:val="none" w:sz="0" w:space="0" w:color="auto"/>
              </w:divBdr>
            </w:div>
          </w:divsChild>
        </w:div>
        <w:div w:id="2109229706">
          <w:marLeft w:val="0"/>
          <w:marRight w:val="0"/>
          <w:marTop w:val="0"/>
          <w:marBottom w:val="0"/>
          <w:divBdr>
            <w:top w:val="none" w:sz="0" w:space="0" w:color="auto"/>
            <w:left w:val="none" w:sz="0" w:space="0" w:color="auto"/>
            <w:bottom w:val="none" w:sz="0" w:space="0" w:color="auto"/>
            <w:right w:val="none" w:sz="0" w:space="0" w:color="auto"/>
          </w:divBdr>
          <w:divsChild>
            <w:div w:id="1731421623">
              <w:marLeft w:val="0"/>
              <w:marRight w:val="0"/>
              <w:marTop w:val="0"/>
              <w:marBottom w:val="0"/>
              <w:divBdr>
                <w:top w:val="none" w:sz="0" w:space="0" w:color="auto"/>
                <w:left w:val="none" w:sz="0" w:space="0" w:color="auto"/>
                <w:bottom w:val="none" w:sz="0" w:space="0" w:color="auto"/>
                <w:right w:val="none" w:sz="0" w:space="0" w:color="auto"/>
              </w:divBdr>
            </w:div>
            <w:div w:id="1346055131">
              <w:marLeft w:val="0"/>
              <w:marRight w:val="0"/>
              <w:marTop w:val="0"/>
              <w:marBottom w:val="0"/>
              <w:divBdr>
                <w:top w:val="none" w:sz="0" w:space="0" w:color="auto"/>
                <w:left w:val="none" w:sz="0" w:space="0" w:color="auto"/>
                <w:bottom w:val="none" w:sz="0" w:space="0" w:color="auto"/>
                <w:right w:val="none" w:sz="0" w:space="0" w:color="auto"/>
              </w:divBdr>
            </w:div>
          </w:divsChild>
        </w:div>
        <w:div w:id="2061705499">
          <w:marLeft w:val="0"/>
          <w:marRight w:val="0"/>
          <w:marTop w:val="0"/>
          <w:marBottom w:val="0"/>
          <w:divBdr>
            <w:top w:val="none" w:sz="0" w:space="0" w:color="auto"/>
            <w:left w:val="none" w:sz="0" w:space="0" w:color="auto"/>
            <w:bottom w:val="none" w:sz="0" w:space="0" w:color="auto"/>
            <w:right w:val="none" w:sz="0" w:space="0" w:color="auto"/>
          </w:divBdr>
          <w:divsChild>
            <w:div w:id="839466198">
              <w:marLeft w:val="0"/>
              <w:marRight w:val="0"/>
              <w:marTop w:val="0"/>
              <w:marBottom w:val="0"/>
              <w:divBdr>
                <w:top w:val="none" w:sz="0" w:space="0" w:color="auto"/>
                <w:left w:val="none" w:sz="0" w:space="0" w:color="auto"/>
                <w:bottom w:val="none" w:sz="0" w:space="0" w:color="auto"/>
                <w:right w:val="none" w:sz="0" w:space="0" w:color="auto"/>
              </w:divBdr>
            </w:div>
            <w:div w:id="1926256686">
              <w:marLeft w:val="0"/>
              <w:marRight w:val="0"/>
              <w:marTop w:val="0"/>
              <w:marBottom w:val="0"/>
              <w:divBdr>
                <w:top w:val="none" w:sz="0" w:space="0" w:color="auto"/>
                <w:left w:val="none" w:sz="0" w:space="0" w:color="auto"/>
                <w:bottom w:val="none" w:sz="0" w:space="0" w:color="auto"/>
                <w:right w:val="none" w:sz="0" w:space="0" w:color="auto"/>
              </w:divBdr>
            </w:div>
          </w:divsChild>
        </w:div>
        <w:div w:id="768886881">
          <w:marLeft w:val="0"/>
          <w:marRight w:val="0"/>
          <w:marTop w:val="0"/>
          <w:marBottom w:val="0"/>
          <w:divBdr>
            <w:top w:val="none" w:sz="0" w:space="0" w:color="auto"/>
            <w:left w:val="none" w:sz="0" w:space="0" w:color="auto"/>
            <w:bottom w:val="none" w:sz="0" w:space="0" w:color="auto"/>
            <w:right w:val="none" w:sz="0" w:space="0" w:color="auto"/>
          </w:divBdr>
          <w:divsChild>
            <w:div w:id="289555795">
              <w:marLeft w:val="0"/>
              <w:marRight w:val="0"/>
              <w:marTop w:val="0"/>
              <w:marBottom w:val="0"/>
              <w:divBdr>
                <w:top w:val="none" w:sz="0" w:space="0" w:color="auto"/>
                <w:left w:val="none" w:sz="0" w:space="0" w:color="auto"/>
                <w:bottom w:val="none" w:sz="0" w:space="0" w:color="auto"/>
                <w:right w:val="none" w:sz="0" w:space="0" w:color="auto"/>
              </w:divBdr>
            </w:div>
          </w:divsChild>
        </w:div>
        <w:div w:id="932125993">
          <w:marLeft w:val="0"/>
          <w:marRight w:val="0"/>
          <w:marTop w:val="0"/>
          <w:marBottom w:val="0"/>
          <w:divBdr>
            <w:top w:val="none" w:sz="0" w:space="0" w:color="auto"/>
            <w:left w:val="none" w:sz="0" w:space="0" w:color="auto"/>
            <w:bottom w:val="none" w:sz="0" w:space="0" w:color="auto"/>
            <w:right w:val="none" w:sz="0" w:space="0" w:color="auto"/>
          </w:divBdr>
          <w:divsChild>
            <w:div w:id="1590767577">
              <w:marLeft w:val="0"/>
              <w:marRight w:val="0"/>
              <w:marTop w:val="0"/>
              <w:marBottom w:val="0"/>
              <w:divBdr>
                <w:top w:val="none" w:sz="0" w:space="0" w:color="auto"/>
                <w:left w:val="none" w:sz="0" w:space="0" w:color="auto"/>
                <w:bottom w:val="none" w:sz="0" w:space="0" w:color="auto"/>
                <w:right w:val="none" w:sz="0" w:space="0" w:color="auto"/>
              </w:divBdr>
            </w:div>
            <w:div w:id="800996374">
              <w:marLeft w:val="0"/>
              <w:marRight w:val="0"/>
              <w:marTop w:val="0"/>
              <w:marBottom w:val="0"/>
              <w:divBdr>
                <w:top w:val="none" w:sz="0" w:space="0" w:color="auto"/>
                <w:left w:val="none" w:sz="0" w:space="0" w:color="auto"/>
                <w:bottom w:val="none" w:sz="0" w:space="0" w:color="auto"/>
                <w:right w:val="none" w:sz="0" w:space="0" w:color="auto"/>
              </w:divBdr>
            </w:div>
          </w:divsChild>
        </w:div>
        <w:div w:id="667370929">
          <w:marLeft w:val="0"/>
          <w:marRight w:val="0"/>
          <w:marTop w:val="0"/>
          <w:marBottom w:val="0"/>
          <w:divBdr>
            <w:top w:val="none" w:sz="0" w:space="0" w:color="auto"/>
            <w:left w:val="none" w:sz="0" w:space="0" w:color="auto"/>
            <w:bottom w:val="none" w:sz="0" w:space="0" w:color="auto"/>
            <w:right w:val="none" w:sz="0" w:space="0" w:color="auto"/>
          </w:divBdr>
          <w:divsChild>
            <w:div w:id="1050228629">
              <w:marLeft w:val="0"/>
              <w:marRight w:val="0"/>
              <w:marTop w:val="0"/>
              <w:marBottom w:val="0"/>
              <w:divBdr>
                <w:top w:val="none" w:sz="0" w:space="0" w:color="auto"/>
                <w:left w:val="none" w:sz="0" w:space="0" w:color="auto"/>
                <w:bottom w:val="none" w:sz="0" w:space="0" w:color="auto"/>
                <w:right w:val="none" w:sz="0" w:space="0" w:color="auto"/>
              </w:divBdr>
            </w:div>
            <w:div w:id="1898514681">
              <w:marLeft w:val="0"/>
              <w:marRight w:val="0"/>
              <w:marTop w:val="0"/>
              <w:marBottom w:val="0"/>
              <w:divBdr>
                <w:top w:val="none" w:sz="0" w:space="0" w:color="auto"/>
                <w:left w:val="none" w:sz="0" w:space="0" w:color="auto"/>
                <w:bottom w:val="none" w:sz="0" w:space="0" w:color="auto"/>
                <w:right w:val="none" w:sz="0" w:space="0" w:color="auto"/>
              </w:divBdr>
            </w:div>
            <w:div w:id="1116943521">
              <w:marLeft w:val="0"/>
              <w:marRight w:val="0"/>
              <w:marTop w:val="0"/>
              <w:marBottom w:val="0"/>
              <w:divBdr>
                <w:top w:val="none" w:sz="0" w:space="0" w:color="auto"/>
                <w:left w:val="none" w:sz="0" w:space="0" w:color="auto"/>
                <w:bottom w:val="none" w:sz="0" w:space="0" w:color="auto"/>
                <w:right w:val="none" w:sz="0" w:space="0" w:color="auto"/>
              </w:divBdr>
            </w:div>
          </w:divsChild>
        </w:div>
        <w:div w:id="415708893">
          <w:marLeft w:val="0"/>
          <w:marRight w:val="0"/>
          <w:marTop w:val="0"/>
          <w:marBottom w:val="0"/>
          <w:divBdr>
            <w:top w:val="none" w:sz="0" w:space="0" w:color="auto"/>
            <w:left w:val="none" w:sz="0" w:space="0" w:color="auto"/>
            <w:bottom w:val="none" w:sz="0" w:space="0" w:color="auto"/>
            <w:right w:val="none" w:sz="0" w:space="0" w:color="auto"/>
          </w:divBdr>
          <w:divsChild>
            <w:div w:id="1309894110">
              <w:marLeft w:val="0"/>
              <w:marRight w:val="0"/>
              <w:marTop w:val="0"/>
              <w:marBottom w:val="0"/>
              <w:divBdr>
                <w:top w:val="none" w:sz="0" w:space="0" w:color="auto"/>
                <w:left w:val="none" w:sz="0" w:space="0" w:color="auto"/>
                <w:bottom w:val="none" w:sz="0" w:space="0" w:color="auto"/>
                <w:right w:val="none" w:sz="0" w:space="0" w:color="auto"/>
              </w:divBdr>
            </w:div>
          </w:divsChild>
        </w:div>
        <w:div w:id="1655334661">
          <w:marLeft w:val="0"/>
          <w:marRight w:val="0"/>
          <w:marTop w:val="0"/>
          <w:marBottom w:val="0"/>
          <w:divBdr>
            <w:top w:val="none" w:sz="0" w:space="0" w:color="auto"/>
            <w:left w:val="none" w:sz="0" w:space="0" w:color="auto"/>
            <w:bottom w:val="none" w:sz="0" w:space="0" w:color="auto"/>
            <w:right w:val="none" w:sz="0" w:space="0" w:color="auto"/>
          </w:divBdr>
          <w:divsChild>
            <w:div w:id="1202211795">
              <w:marLeft w:val="0"/>
              <w:marRight w:val="0"/>
              <w:marTop w:val="0"/>
              <w:marBottom w:val="0"/>
              <w:divBdr>
                <w:top w:val="none" w:sz="0" w:space="0" w:color="auto"/>
                <w:left w:val="none" w:sz="0" w:space="0" w:color="auto"/>
                <w:bottom w:val="none" w:sz="0" w:space="0" w:color="auto"/>
                <w:right w:val="none" w:sz="0" w:space="0" w:color="auto"/>
              </w:divBdr>
            </w:div>
            <w:div w:id="2076587498">
              <w:marLeft w:val="0"/>
              <w:marRight w:val="0"/>
              <w:marTop w:val="0"/>
              <w:marBottom w:val="0"/>
              <w:divBdr>
                <w:top w:val="none" w:sz="0" w:space="0" w:color="auto"/>
                <w:left w:val="none" w:sz="0" w:space="0" w:color="auto"/>
                <w:bottom w:val="none" w:sz="0" w:space="0" w:color="auto"/>
                <w:right w:val="none" w:sz="0" w:space="0" w:color="auto"/>
              </w:divBdr>
            </w:div>
          </w:divsChild>
        </w:div>
        <w:div w:id="268129516">
          <w:marLeft w:val="0"/>
          <w:marRight w:val="0"/>
          <w:marTop w:val="0"/>
          <w:marBottom w:val="0"/>
          <w:divBdr>
            <w:top w:val="none" w:sz="0" w:space="0" w:color="auto"/>
            <w:left w:val="none" w:sz="0" w:space="0" w:color="auto"/>
            <w:bottom w:val="none" w:sz="0" w:space="0" w:color="auto"/>
            <w:right w:val="none" w:sz="0" w:space="0" w:color="auto"/>
          </w:divBdr>
          <w:divsChild>
            <w:div w:id="1305621735">
              <w:marLeft w:val="0"/>
              <w:marRight w:val="0"/>
              <w:marTop w:val="0"/>
              <w:marBottom w:val="0"/>
              <w:divBdr>
                <w:top w:val="none" w:sz="0" w:space="0" w:color="auto"/>
                <w:left w:val="none" w:sz="0" w:space="0" w:color="auto"/>
                <w:bottom w:val="none" w:sz="0" w:space="0" w:color="auto"/>
                <w:right w:val="none" w:sz="0" w:space="0" w:color="auto"/>
              </w:divBdr>
            </w:div>
          </w:divsChild>
        </w:div>
        <w:div w:id="1380980016">
          <w:marLeft w:val="0"/>
          <w:marRight w:val="0"/>
          <w:marTop w:val="0"/>
          <w:marBottom w:val="0"/>
          <w:divBdr>
            <w:top w:val="none" w:sz="0" w:space="0" w:color="auto"/>
            <w:left w:val="none" w:sz="0" w:space="0" w:color="auto"/>
            <w:bottom w:val="none" w:sz="0" w:space="0" w:color="auto"/>
            <w:right w:val="none" w:sz="0" w:space="0" w:color="auto"/>
          </w:divBdr>
          <w:divsChild>
            <w:div w:id="503862797">
              <w:marLeft w:val="0"/>
              <w:marRight w:val="0"/>
              <w:marTop w:val="0"/>
              <w:marBottom w:val="0"/>
              <w:divBdr>
                <w:top w:val="none" w:sz="0" w:space="0" w:color="auto"/>
                <w:left w:val="none" w:sz="0" w:space="0" w:color="auto"/>
                <w:bottom w:val="none" w:sz="0" w:space="0" w:color="auto"/>
                <w:right w:val="none" w:sz="0" w:space="0" w:color="auto"/>
              </w:divBdr>
            </w:div>
          </w:divsChild>
        </w:div>
        <w:div w:id="1330906407">
          <w:marLeft w:val="0"/>
          <w:marRight w:val="0"/>
          <w:marTop w:val="0"/>
          <w:marBottom w:val="0"/>
          <w:divBdr>
            <w:top w:val="none" w:sz="0" w:space="0" w:color="auto"/>
            <w:left w:val="none" w:sz="0" w:space="0" w:color="auto"/>
            <w:bottom w:val="none" w:sz="0" w:space="0" w:color="auto"/>
            <w:right w:val="none" w:sz="0" w:space="0" w:color="auto"/>
          </w:divBdr>
          <w:divsChild>
            <w:div w:id="1916547891">
              <w:marLeft w:val="0"/>
              <w:marRight w:val="0"/>
              <w:marTop w:val="0"/>
              <w:marBottom w:val="0"/>
              <w:divBdr>
                <w:top w:val="none" w:sz="0" w:space="0" w:color="auto"/>
                <w:left w:val="none" w:sz="0" w:space="0" w:color="auto"/>
                <w:bottom w:val="none" w:sz="0" w:space="0" w:color="auto"/>
                <w:right w:val="none" w:sz="0" w:space="0" w:color="auto"/>
              </w:divBdr>
            </w:div>
          </w:divsChild>
        </w:div>
        <w:div w:id="674384645">
          <w:marLeft w:val="0"/>
          <w:marRight w:val="0"/>
          <w:marTop w:val="0"/>
          <w:marBottom w:val="0"/>
          <w:divBdr>
            <w:top w:val="none" w:sz="0" w:space="0" w:color="auto"/>
            <w:left w:val="none" w:sz="0" w:space="0" w:color="auto"/>
            <w:bottom w:val="none" w:sz="0" w:space="0" w:color="auto"/>
            <w:right w:val="none" w:sz="0" w:space="0" w:color="auto"/>
          </w:divBdr>
          <w:divsChild>
            <w:div w:id="769543044">
              <w:marLeft w:val="0"/>
              <w:marRight w:val="0"/>
              <w:marTop w:val="0"/>
              <w:marBottom w:val="0"/>
              <w:divBdr>
                <w:top w:val="none" w:sz="0" w:space="0" w:color="auto"/>
                <w:left w:val="none" w:sz="0" w:space="0" w:color="auto"/>
                <w:bottom w:val="none" w:sz="0" w:space="0" w:color="auto"/>
                <w:right w:val="none" w:sz="0" w:space="0" w:color="auto"/>
              </w:divBdr>
            </w:div>
          </w:divsChild>
        </w:div>
        <w:div w:id="630786816">
          <w:marLeft w:val="0"/>
          <w:marRight w:val="0"/>
          <w:marTop w:val="0"/>
          <w:marBottom w:val="0"/>
          <w:divBdr>
            <w:top w:val="none" w:sz="0" w:space="0" w:color="auto"/>
            <w:left w:val="none" w:sz="0" w:space="0" w:color="auto"/>
            <w:bottom w:val="none" w:sz="0" w:space="0" w:color="auto"/>
            <w:right w:val="none" w:sz="0" w:space="0" w:color="auto"/>
          </w:divBdr>
          <w:divsChild>
            <w:div w:id="869340456">
              <w:marLeft w:val="0"/>
              <w:marRight w:val="0"/>
              <w:marTop w:val="0"/>
              <w:marBottom w:val="0"/>
              <w:divBdr>
                <w:top w:val="none" w:sz="0" w:space="0" w:color="auto"/>
                <w:left w:val="none" w:sz="0" w:space="0" w:color="auto"/>
                <w:bottom w:val="none" w:sz="0" w:space="0" w:color="auto"/>
                <w:right w:val="none" w:sz="0" w:space="0" w:color="auto"/>
              </w:divBdr>
            </w:div>
          </w:divsChild>
        </w:div>
        <w:div w:id="177889340">
          <w:marLeft w:val="0"/>
          <w:marRight w:val="0"/>
          <w:marTop w:val="0"/>
          <w:marBottom w:val="0"/>
          <w:divBdr>
            <w:top w:val="none" w:sz="0" w:space="0" w:color="auto"/>
            <w:left w:val="none" w:sz="0" w:space="0" w:color="auto"/>
            <w:bottom w:val="none" w:sz="0" w:space="0" w:color="auto"/>
            <w:right w:val="none" w:sz="0" w:space="0" w:color="auto"/>
          </w:divBdr>
          <w:divsChild>
            <w:div w:id="439186663">
              <w:marLeft w:val="0"/>
              <w:marRight w:val="0"/>
              <w:marTop w:val="0"/>
              <w:marBottom w:val="0"/>
              <w:divBdr>
                <w:top w:val="none" w:sz="0" w:space="0" w:color="auto"/>
                <w:left w:val="none" w:sz="0" w:space="0" w:color="auto"/>
                <w:bottom w:val="none" w:sz="0" w:space="0" w:color="auto"/>
                <w:right w:val="none" w:sz="0" w:space="0" w:color="auto"/>
              </w:divBdr>
            </w:div>
            <w:div w:id="1809857297">
              <w:marLeft w:val="0"/>
              <w:marRight w:val="0"/>
              <w:marTop w:val="0"/>
              <w:marBottom w:val="0"/>
              <w:divBdr>
                <w:top w:val="none" w:sz="0" w:space="0" w:color="auto"/>
                <w:left w:val="none" w:sz="0" w:space="0" w:color="auto"/>
                <w:bottom w:val="none" w:sz="0" w:space="0" w:color="auto"/>
                <w:right w:val="none" w:sz="0" w:space="0" w:color="auto"/>
              </w:divBdr>
            </w:div>
          </w:divsChild>
        </w:div>
        <w:div w:id="1953512777">
          <w:marLeft w:val="0"/>
          <w:marRight w:val="0"/>
          <w:marTop w:val="0"/>
          <w:marBottom w:val="0"/>
          <w:divBdr>
            <w:top w:val="none" w:sz="0" w:space="0" w:color="auto"/>
            <w:left w:val="none" w:sz="0" w:space="0" w:color="auto"/>
            <w:bottom w:val="none" w:sz="0" w:space="0" w:color="auto"/>
            <w:right w:val="none" w:sz="0" w:space="0" w:color="auto"/>
          </w:divBdr>
          <w:divsChild>
            <w:div w:id="194925160">
              <w:marLeft w:val="0"/>
              <w:marRight w:val="0"/>
              <w:marTop w:val="0"/>
              <w:marBottom w:val="0"/>
              <w:divBdr>
                <w:top w:val="none" w:sz="0" w:space="0" w:color="auto"/>
                <w:left w:val="none" w:sz="0" w:space="0" w:color="auto"/>
                <w:bottom w:val="none" w:sz="0" w:space="0" w:color="auto"/>
                <w:right w:val="none" w:sz="0" w:space="0" w:color="auto"/>
              </w:divBdr>
            </w:div>
            <w:div w:id="210849634">
              <w:marLeft w:val="0"/>
              <w:marRight w:val="0"/>
              <w:marTop w:val="0"/>
              <w:marBottom w:val="0"/>
              <w:divBdr>
                <w:top w:val="none" w:sz="0" w:space="0" w:color="auto"/>
                <w:left w:val="none" w:sz="0" w:space="0" w:color="auto"/>
                <w:bottom w:val="none" w:sz="0" w:space="0" w:color="auto"/>
                <w:right w:val="none" w:sz="0" w:space="0" w:color="auto"/>
              </w:divBdr>
            </w:div>
          </w:divsChild>
        </w:div>
        <w:div w:id="176578664">
          <w:marLeft w:val="0"/>
          <w:marRight w:val="0"/>
          <w:marTop w:val="0"/>
          <w:marBottom w:val="0"/>
          <w:divBdr>
            <w:top w:val="none" w:sz="0" w:space="0" w:color="auto"/>
            <w:left w:val="none" w:sz="0" w:space="0" w:color="auto"/>
            <w:bottom w:val="none" w:sz="0" w:space="0" w:color="auto"/>
            <w:right w:val="none" w:sz="0" w:space="0" w:color="auto"/>
          </w:divBdr>
          <w:divsChild>
            <w:div w:id="1414426498">
              <w:marLeft w:val="0"/>
              <w:marRight w:val="0"/>
              <w:marTop w:val="0"/>
              <w:marBottom w:val="0"/>
              <w:divBdr>
                <w:top w:val="none" w:sz="0" w:space="0" w:color="auto"/>
                <w:left w:val="none" w:sz="0" w:space="0" w:color="auto"/>
                <w:bottom w:val="none" w:sz="0" w:space="0" w:color="auto"/>
                <w:right w:val="none" w:sz="0" w:space="0" w:color="auto"/>
              </w:divBdr>
            </w:div>
          </w:divsChild>
        </w:div>
        <w:div w:id="1251966161">
          <w:marLeft w:val="0"/>
          <w:marRight w:val="0"/>
          <w:marTop w:val="0"/>
          <w:marBottom w:val="0"/>
          <w:divBdr>
            <w:top w:val="none" w:sz="0" w:space="0" w:color="auto"/>
            <w:left w:val="none" w:sz="0" w:space="0" w:color="auto"/>
            <w:bottom w:val="none" w:sz="0" w:space="0" w:color="auto"/>
            <w:right w:val="none" w:sz="0" w:space="0" w:color="auto"/>
          </w:divBdr>
          <w:divsChild>
            <w:div w:id="447622629">
              <w:marLeft w:val="0"/>
              <w:marRight w:val="0"/>
              <w:marTop w:val="0"/>
              <w:marBottom w:val="0"/>
              <w:divBdr>
                <w:top w:val="none" w:sz="0" w:space="0" w:color="auto"/>
                <w:left w:val="none" w:sz="0" w:space="0" w:color="auto"/>
                <w:bottom w:val="none" w:sz="0" w:space="0" w:color="auto"/>
                <w:right w:val="none" w:sz="0" w:space="0" w:color="auto"/>
              </w:divBdr>
            </w:div>
          </w:divsChild>
        </w:div>
        <w:div w:id="1283534204">
          <w:marLeft w:val="0"/>
          <w:marRight w:val="0"/>
          <w:marTop w:val="0"/>
          <w:marBottom w:val="0"/>
          <w:divBdr>
            <w:top w:val="none" w:sz="0" w:space="0" w:color="auto"/>
            <w:left w:val="none" w:sz="0" w:space="0" w:color="auto"/>
            <w:bottom w:val="none" w:sz="0" w:space="0" w:color="auto"/>
            <w:right w:val="none" w:sz="0" w:space="0" w:color="auto"/>
          </w:divBdr>
          <w:divsChild>
            <w:div w:id="2069839091">
              <w:marLeft w:val="0"/>
              <w:marRight w:val="0"/>
              <w:marTop w:val="0"/>
              <w:marBottom w:val="0"/>
              <w:divBdr>
                <w:top w:val="none" w:sz="0" w:space="0" w:color="auto"/>
                <w:left w:val="none" w:sz="0" w:space="0" w:color="auto"/>
                <w:bottom w:val="none" w:sz="0" w:space="0" w:color="auto"/>
                <w:right w:val="none" w:sz="0" w:space="0" w:color="auto"/>
              </w:divBdr>
            </w:div>
            <w:div w:id="1368145703">
              <w:marLeft w:val="0"/>
              <w:marRight w:val="0"/>
              <w:marTop w:val="0"/>
              <w:marBottom w:val="0"/>
              <w:divBdr>
                <w:top w:val="none" w:sz="0" w:space="0" w:color="auto"/>
                <w:left w:val="none" w:sz="0" w:space="0" w:color="auto"/>
                <w:bottom w:val="none" w:sz="0" w:space="0" w:color="auto"/>
                <w:right w:val="none" w:sz="0" w:space="0" w:color="auto"/>
              </w:divBdr>
            </w:div>
          </w:divsChild>
        </w:div>
        <w:div w:id="654722415">
          <w:marLeft w:val="0"/>
          <w:marRight w:val="0"/>
          <w:marTop w:val="0"/>
          <w:marBottom w:val="0"/>
          <w:divBdr>
            <w:top w:val="none" w:sz="0" w:space="0" w:color="auto"/>
            <w:left w:val="none" w:sz="0" w:space="0" w:color="auto"/>
            <w:bottom w:val="none" w:sz="0" w:space="0" w:color="auto"/>
            <w:right w:val="none" w:sz="0" w:space="0" w:color="auto"/>
          </w:divBdr>
          <w:divsChild>
            <w:div w:id="3343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71237">
      <w:bodyDiv w:val="1"/>
      <w:marLeft w:val="0"/>
      <w:marRight w:val="0"/>
      <w:marTop w:val="0"/>
      <w:marBottom w:val="0"/>
      <w:divBdr>
        <w:top w:val="none" w:sz="0" w:space="0" w:color="auto"/>
        <w:left w:val="none" w:sz="0" w:space="0" w:color="auto"/>
        <w:bottom w:val="none" w:sz="0" w:space="0" w:color="auto"/>
        <w:right w:val="none" w:sz="0" w:space="0" w:color="auto"/>
      </w:divBdr>
    </w:div>
    <w:div w:id="318270679">
      <w:bodyDiv w:val="1"/>
      <w:marLeft w:val="0"/>
      <w:marRight w:val="0"/>
      <w:marTop w:val="0"/>
      <w:marBottom w:val="0"/>
      <w:divBdr>
        <w:top w:val="none" w:sz="0" w:space="0" w:color="auto"/>
        <w:left w:val="none" w:sz="0" w:space="0" w:color="auto"/>
        <w:bottom w:val="none" w:sz="0" w:space="0" w:color="auto"/>
        <w:right w:val="none" w:sz="0" w:space="0" w:color="auto"/>
      </w:divBdr>
    </w:div>
    <w:div w:id="387608798">
      <w:bodyDiv w:val="1"/>
      <w:marLeft w:val="0"/>
      <w:marRight w:val="0"/>
      <w:marTop w:val="0"/>
      <w:marBottom w:val="0"/>
      <w:divBdr>
        <w:top w:val="none" w:sz="0" w:space="0" w:color="auto"/>
        <w:left w:val="none" w:sz="0" w:space="0" w:color="auto"/>
        <w:bottom w:val="none" w:sz="0" w:space="0" w:color="auto"/>
        <w:right w:val="none" w:sz="0" w:space="0" w:color="auto"/>
      </w:divBdr>
    </w:div>
    <w:div w:id="615017951">
      <w:bodyDiv w:val="1"/>
      <w:marLeft w:val="0"/>
      <w:marRight w:val="0"/>
      <w:marTop w:val="0"/>
      <w:marBottom w:val="0"/>
      <w:divBdr>
        <w:top w:val="none" w:sz="0" w:space="0" w:color="auto"/>
        <w:left w:val="none" w:sz="0" w:space="0" w:color="auto"/>
        <w:bottom w:val="none" w:sz="0" w:space="0" w:color="auto"/>
        <w:right w:val="none" w:sz="0" w:space="0" w:color="auto"/>
      </w:divBdr>
    </w:div>
    <w:div w:id="691804544">
      <w:bodyDiv w:val="1"/>
      <w:marLeft w:val="0"/>
      <w:marRight w:val="0"/>
      <w:marTop w:val="0"/>
      <w:marBottom w:val="0"/>
      <w:divBdr>
        <w:top w:val="none" w:sz="0" w:space="0" w:color="auto"/>
        <w:left w:val="none" w:sz="0" w:space="0" w:color="auto"/>
        <w:bottom w:val="none" w:sz="0" w:space="0" w:color="auto"/>
        <w:right w:val="none" w:sz="0" w:space="0" w:color="auto"/>
      </w:divBdr>
      <w:divsChild>
        <w:div w:id="375861181">
          <w:marLeft w:val="0"/>
          <w:marRight w:val="0"/>
          <w:marTop w:val="0"/>
          <w:marBottom w:val="0"/>
          <w:divBdr>
            <w:top w:val="none" w:sz="0" w:space="0" w:color="auto"/>
            <w:left w:val="none" w:sz="0" w:space="0" w:color="auto"/>
            <w:bottom w:val="none" w:sz="0" w:space="0" w:color="auto"/>
            <w:right w:val="none" w:sz="0" w:space="0" w:color="auto"/>
          </w:divBdr>
          <w:divsChild>
            <w:div w:id="248346029">
              <w:marLeft w:val="0"/>
              <w:marRight w:val="0"/>
              <w:marTop w:val="0"/>
              <w:marBottom w:val="0"/>
              <w:divBdr>
                <w:top w:val="none" w:sz="0" w:space="0" w:color="auto"/>
                <w:left w:val="none" w:sz="0" w:space="0" w:color="auto"/>
                <w:bottom w:val="none" w:sz="0" w:space="0" w:color="auto"/>
                <w:right w:val="none" w:sz="0" w:space="0" w:color="auto"/>
              </w:divBdr>
            </w:div>
          </w:divsChild>
        </w:div>
        <w:div w:id="678896262">
          <w:marLeft w:val="0"/>
          <w:marRight w:val="0"/>
          <w:marTop w:val="0"/>
          <w:marBottom w:val="0"/>
          <w:divBdr>
            <w:top w:val="none" w:sz="0" w:space="0" w:color="auto"/>
            <w:left w:val="none" w:sz="0" w:space="0" w:color="auto"/>
            <w:bottom w:val="none" w:sz="0" w:space="0" w:color="auto"/>
            <w:right w:val="none" w:sz="0" w:space="0" w:color="auto"/>
          </w:divBdr>
          <w:divsChild>
            <w:div w:id="2050302069">
              <w:marLeft w:val="0"/>
              <w:marRight w:val="0"/>
              <w:marTop w:val="0"/>
              <w:marBottom w:val="0"/>
              <w:divBdr>
                <w:top w:val="none" w:sz="0" w:space="0" w:color="auto"/>
                <w:left w:val="none" w:sz="0" w:space="0" w:color="auto"/>
                <w:bottom w:val="none" w:sz="0" w:space="0" w:color="auto"/>
                <w:right w:val="none" w:sz="0" w:space="0" w:color="auto"/>
              </w:divBdr>
            </w:div>
          </w:divsChild>
        </w:div>
        <w:div w:id="392696870">
          <w:marLeft w:val="0"/>
          <w:marRight w:val="0"/>
          <w:marTop w:val="0"/>
          <w:marBottom w:val="0"/>
          <w:divBdr>
            <w:top w:val="none" w:sz="0" w:space="0" w:color="auto"/>
            <w:left w:val="none" w:sz="0" w:space="0" w:color="auto"/>
            <w:bottom w:val="none" w:sz="0" w:space="0" w:color="auto"/>
            <w:right w:val="none" w:sz="0" w:space="0" w:color="auto"/>
          </w:divBdr>
          <w:divsChild>
            <w:div w:id="156699125">
              <w:marLeft w:val="0"/>
              <w:marRight w:val="0"/>
              <w:marTop w:val="0"/>
              <w:marBottom w:val="0"/>
              <w:divBdr>
                <w:top w:val="none" w:sz="0" w:space="0" w:color="auto"/>
                <w:left w:val="none" w:sz="0" w:space="0" w:color="auto"/>
                <w:bottom w:val="none" w:sz="0" w:space="0" w:color="auto"/>
                <w:right w:val="none" w:sz="0" w:space="0" w:color="auto"/>
              </w:divBdr>
            </w:div>
          </w:divsChild>
        </w:div>
        <w:div w:id="1061489326">
          <w:marLeft w:val="0"/>
          <w:marRight w:val="0"/>
          <w:marTop w:val="0"/>
          <w:marBottom w:val="0"/>
          <w:divBdr>
            <w:top w:val="none" w:sz="0" w:space="0" w:color="auto"/>
            <w:left w:val="none" w:sz="0" w:space="0" w:color="auto"/>
            <w:bottom w:val="none" w:sz="0" w:space="0" w:color="auto"/>
            <w:right w:val="none" w:sz="0" w:space="0" w:color="auto"/>
          </w:divBdr>
          <w:divsChild>
            <w:div w:id="217864206">
              <w:marLeft w:val="0"/>
              <w:marRight w:val="0"/>
              <w:marTop w:val="0"/>
              <w:marBottom w:val="0"/>
              <w:divBdr>
                <w:top w:val="none" w:sz="0" w:space="0" w:color="auto"/>
                <w:left w:val="none" w:sz="0" w:space="0" w:color="auto"/>
                <w:bottom w:val="none" w:sz="0" w:space="0" w:color="auto"/>
                <w:right w:val="none" w:sz="0" w:space="0" w:color="auto"/>
              </w:divBdr>
            </w:div>
          </w:divsChild>
        </w:div>
        <w:div w:id="1203984858">
          <w:marLeft w:val="0"/>
          <w:marRight w:val="0"/>
          <w:marTop w:val="0"/>
          <w:marBottom w:val="0"/>
          <w:divBdr>
            <w:top w:val="none" w:sz="0" w:space="0" w:color="auto"/>
            <w:left w:val="none" w:sz="0" w:space="0" w:color="auto"/>
            <w:bottom w:val="none" w:sz="0" w:space="0" w:color="auto"/>
            <w:right w:val="none" w:sz="0" w:space="0" w:color="auto"/>
          </w:divBdr>
          <w:divsChild>
            <w:div w:id="1203638251">
              <w:marLeft w:val="0"/>
              <w:marRight w:val="0"/>
              <w:marTop w:val="0"/>
              <w:marBottom w:val="0"/>
              <w:divBdr>
                <w:top w:val="none" w:sz="0" w:space="0" w:color="auto"/>
                <w:left w:val="none" w:sz="0" w:space="0" w:color="auto"/>
                <w:bottom w:val="none" w:sz="0" w:space="0" w:color="auto"/>
                <w:right w:val="none" w:sz="0" w:space="0" w:color="auto"/>
              </w:divBdr>
            </w:div>
          </w:divsChild>
        </w:div>
        <w:div w:id="986931049">
          <w:marLeft w:val="0"/>
          <w:marRight w:val="0"/>
          <w:marTop w:val="0"/>
          <w:marBottom w:val="0"/>
          <w:divBdr>
            <w:top w:val="none" w:sz="0" w:space="0" w:color="auto"/>
            <w:left w:val="none" w:sz="0" w:space="0" w:color="auto"/>
            <w:bottom w:val="none" w:sz="0" w:space="0" w:color="auto"/>
            <w:right w:val="none" w:sz="0" w:space="0" w:color="auto"/>
          </w:divBdr>
          <w:divsChild>
            <w:div w:id="514347272">
              <w:marLeft w:val="0"/>
              <w:marRight w:val="0"/>
              <w:marTop w:val="0"/>
              <w:marBottom w:val="0"/>
              <w:divBdr>
                <w:top w:val="none" w:sz="0" w:space="0" w:color="auto"/>
                <w:left w:val="none" w:sz="0" w:space="0" w:color="auto"/>
                <w:bottom w:val="none" w:sz="0" w:space="0" w:color="auto"/>
                <w:right w:val="none" w:sz="0" w:space="0" w:color="auto"/>
              </w:divBdr>
            </w:div>
          </w:divsChild>
        </w:div>
        <w:div w:id="1346905822">
          <w:marLeft w:val="0"/>
          <w:marRight w:val="0"/>
          <w:marTop w:val="0"/>
          <w:marBottom w:val="0"/>
          <w:divBdr>
            <w:top w:val="none" w:sz="0" w:space="0" w:color="auto"/>
            <w:left w:val="none" w:sz="0" w:space="0" w:color="auto"/>
            <w:bottom w:val="none" w:sz="0" w:space="0" w:color="auto"/>
            <w:right w:val="none" w:sz="0" w:space="0" w:color="auto"/>
          </w:divBdr>
          <w:divsChild>
            <w:div w:id="1455292903">
              <w:marLeft w:val="0"/>
              <w:marRight w:val="0"/>
              <w:marTop w:val="0"/>
              <w:marBottom w:val="0"/>
              <w:divBdr>
                <w:top w:val="none" w:sz="0" w:space="0" w:color="auto"/>
                <w:left w:val="none" w:sz="0" w:space="0" w:color="auto"/>
                <w:bottom w:val="none" w:sz="0" w:space="0" w:color="auto"/>
                <w:right w:val="none" w:sz="0" w:space="0" w:color="auto"/>
              </w:divBdr>
            </w:div>
            <w:div w:id="40980181">
              <w:marLeft w:val="0"/>
              <w:marRight w:val="0"/>
              <w:marTop w:val="0"/>
              <w:marBottom w:val="0"/>
              <w:divBdr>
                <w:top w:val="none" w:sz="0" w:space="0" w:color="auto"/>
                <w:left w:val="none" w:sz="0" w:space="0" w:color="auto"/>
                <w:bottom w:val="none" w:sz="0" w:space="0" w:color="auto"/>
                <w:right w:val="none" w:sz="0" w:space="0" w:color="auto"/>
              </w:divBdr>
            </w:div>
            <w:div w:id="1795635924">
              <w:marLeft w:val="0"/>
              <w:marRight w:val="0"/>
              <w:marTop w:val="0"/>
              <w:marBottom w:val="0"/>
              <w:divBdr>
                <w:top w:val="none" w:sz="0" w:space="0" w:color="auto"/>
                <w:left w:val="none" w:sz="0" w:space="0" w:color="auto"/>
                <w:bottom w:val="none" w:sz="0" w:space="0" w:color="auto"/>
                <w:right w:val="none" w:sz="0" w:space="0" w:color="auto"/>
              </w:divBdr>
            </w:div>
            <w:div w:id="32384995">
              <w:marLeft w:val="0"/>
              <w:marRight w:val="0"/>
              <w:marTop w:val="0"/>
              <w:marBottom w:val="0"/>
              <w:divBdr>
                <w:top w:val="none" w:sz="0" w:space="0" w:color="auto"/>
                <w:left w:val="none" w:sz="0" w:space="0" w:color="auto"/>
                <w:bottom w:val="none" w:sz="0" w:space="0" w:color="auto"/>
                <w:right w:val="none" w:sz="0" w:space="0" w:color="auto"/>
              </w:divBdr>
            </w:div>
            <w:div w:id="1156190409">
              <w:marLeft w:val="0"/>
              <w:marRight w:val="0"/>
              <w:marTop w:val="0"/>
              <w:marBottom w:val="0"/>
              <w:divBdr>
                <w:top w:val="none" w:sz="0" w:space="0" w:color="auto"/>
                <w:left w:val="none" w:sz="0" w:space="0" w:color="auto"/>
                <w:bottom w:val="none" w:sz="0" w:space="0" w:color="auto"/>
                <w:right w:val="none" w:sz="0" w:space="0" w:color="auto"/>
              </w:divBdr>
            </w:div>
            <w:div w:id="225452629">
              <w:marLeft w:val="0"/>
              <w:marRight w:val="0"/>
              <w:marTop w:val="0"/>
              <w:marBottom w:val="0"/>
              <w:divBdr>
                <w:top w:val="none" w:sz="0" w:space="0" w:color="auto"/>
                <w:left w:val="none" w:sz="0" w:space="0" w:color="auto"/>
                <w:bottom w:val="none" w:sz="0" w:space="0" w:color="auto"/>
                <w:right w:val="none" w:sz="0" w:space="0" w:color="auto"/>
              </w:divBdr>
            </w:div>
            <w:div w:id="791479259">
              <w:marLeft w:val="0"/>
              <w:marRight w:val="0"/>
              <w:marTop w:val="0"/>
              <w:marBottom w:val="0"/>
              <w:divBdr>
                <w:top w:val="none" w:sz="0" w:space="0" w:color="auto"/>
                <w:left w:val="none" w:sz="0" w:space="0" w:color="auto"/>
                <w:bottom w:val="none" w:sz="0" w:space="0" w:color="auto"/>
                <w:right w:val="none" w:sz="0" w:space="0" w:color="auto"/>
              </w:divBdr>
            </w:div>
            <w:div w:id="1892183606">
              <w:marLeft w:val="0"/>
              <w:marRight w:val="0"/>
              <w:marTop w:val="0"/>
              <w:marBottom w:val="0"/>
              <w:divBdr>
                <w:top w:val="none" w:sz="0" w:space="0" w:color="auto"/>
                <w:left w:val="none" w:sz="0" w:space="0" w:color="auto"/>
                <w:bottom w:val="none" w:sz="0" w:space="0" w:color="auto"/>
                <w:right w:val="none" w:sz="0" w:space="0" w:color="auto"/>
              </w:divBdr>
            </w:div>
            <w:div w:id="600534732">
              <w:marLeft w:val="0"/>
              <w:marRight w:val="0"/>
              <w:marTop w:val="0"/>
              <w:marBottom w:val="0"/>
              <w:divBdr>
                <w:top w:val="none" w:sz="0" w:space="0" w:color="auto"/>
                <w:left w:val="none" w:sz="0" w:space="0" w:color="auto"/>
                <w:bottom w:val="none" w:sz="0" w:space="0" w:color="auto"/>
                <w:right w:val="none" w:sz="0" w:space="0" w:color="auto"/>
              </w:divBdr>
            </w:div>
            <w:div w:id="558173771">
              <w:marLeft w:val="0"/>
              <w:marRight w:val="0"/>
              <w:marTop w:val="0"/>
              <w:marBottom w:val="0"/>
              <w:divBdr>
                <w:top w:val="none" w:sz="0" w:space="0" w:color="auto"/>
                <w:left w:val="none" w:sz="0" w:space="0" w:color="auto"/>
                <w:bottom w:val="none" w:sz="0" w:space="0" w:color="auto"/>
                <w:right w:val="none" w:sz="0" w:space="0" w:color="auto"/>
              </w:divBdr>
            </w:div>
          </w:divsChild>
        </w:div>
        <w:div w:id="500780088">
          <w:marLeft w:val="0"/>
          <w:marRight w:val="0"/>
          <w:marTop w:val="0"/>
          <w:marBottom w:val="0"/>
          <w:divBdr>
            <w:top w:val="none" w:sz="0" w:space="0" w:color="auto"/>
            <w:left w:val="none" w:sz="0" w:space="0" w:color="auto"/>
            <w:bottom w:val="none" w:sz="0" w:space="0" w:color="auto"/>
            <w:right w:val="none" w:sz="0" w:space="0" w:color="auto"/>
          </w:divBdr>
          <w:divsChild>
            <w:div w:id="799885505">
              <w:marLeft w:val="0"/>
              <w:marRight w:val="0"/>
              <w:marTop w:val="0"/>
              <w:marBottom w:val="0"/>
              <w:divBdr>
                <w:top w:val="none" w:sz="0" w:space="0" w:color="auto"/>
                <w:left w:val="none" w:sz="0" w:space="0" w:color="auto"/>
                <w:bottom w:val="none" w:sz="0" w:space="0" w:color="auto"/>
                <w:right w:val="none" w:sz="0" w:space="0" w:color="auto"/>
              </w:divBdr>
            </w:div>
            <w:div w:id="837040751">
              <w:marLeft w:val="0"/>
              <w:marRight w:val="0"/>
              <w:marTop w:val="0"/>
              <w:marBottom w:val="0"/>
              <w:divBdr>
                <w:top w:val="none" w:sz="0" w:space="0" w:color="auto"/>
                <w:left w:val="none" w:sz="0" w:space="0" w:color="auto"/>
                <w:bottom w:val="none" w:sz="0" w:space="0" w:color="auto"/>
                <w:right w:val="none" w:sz="0" w:space="0" w:color="auto"/>
              </w:divBdr>
            </w:div>
            <w:div w:id="1147286902">
              <w:marLeft w:val="0"/>
              <w:marRight w:val="0"/>
              <w:marTop w:val="0"/>
              <w:marBottom w:val="0"/>
              <w:divBdr>
                <w:top w:val="none" w:sz="0" w:space="0" w:color="auto"/>
                <w:left w:val="none" w:sz="0" w:space="0" w:color="auto"/>
                <w:bottom w:val="none" w:sz="0" w:space="0" w:color="auto"/>
                <w:right w:val="none" w:sz="0" w:space="0" w:color="auto"/>
              </w:divBdr>
            </w:div>
            <w:div w:id="1991326734">
              <w:marLeft w:val="0"/>
              <w:marRight w:val="0"/>
              <w:marTop w:val="0"/>
              <w:marBottom w:val="0"/>
              <w:divBdr>
                <w:top w:val="none" w:sz="0" w:space="0" w:color="auto"/>
                <w:left w:val="none" w:sz="0" w:space="0" w:color="auto"/>
                <w:bottom w:val="none" w:sz="0" w:space="0" w:color="auto"/>
                <w:right w:val="none" w:sz="0" w:space="0" w:color="auto"/>
              </w:divBdr>
            </w:div>
            <w:div w:id="137768730">
              <w:marLeft w:val="0"/>
              <w:marRight w:val="0"/>
              <w:marTop w:val="0"/>
              <w:marBottom w:val="0"/>
              <w:divBdr>
                <w:top w:val="none" w:sz="0" w:space="0" w:color="auto"/>
                <w:left w:val="none" w:sz="0" w:space="0" w:color="auto"/>
                <w:bottom w:val="none" w:sz="0" w:space="0" w:color="auto"/>
                <w:right w:val="none" w:sz="0" w:space="0" w:color="auto"/>
              </w:divBdr>
            </w:div>
            <w:div w:id="205606122">
              <w:marLeft w:val="0"/>
              <w:marRight w:val="0"/>
              <w:marTop w:val="0"/>
              <w:marBottom w:val="0"/>
              <w:divBdr>
                <w:top w:val="none" w:sz="0" w:space="0" w:color="auto"/>
                <w:left w:val="none" w:sz="0" w:space="0" w:color="auto"/>
                <w:bottom w:val="none" w:sz="0" w:space="0" w:color="auto"/>
                <w:right w:val="none" w:sz="0" w:space="0" w:color="auto"/>
              </w:divBdr>
            </w:div>
            <w:div w:id="1219971971">
              <w:marLeft w:val="0"/>
              <w:marRight w:val="0"/>
              <w:marTop w:val="0"/>
              <w:marBottom w:val="0"/>
              <w:divBdr>
                <w:top w:val="none" w:sz="0" w:space="0" w:color="auto"/>
                <w:left w:val="none" w:sz="0" w:space="0" w:color="auto"/>
                <w:bottom w:val="none" w:sz="0" w:space="0" w:color="auto"/>
                <w:right w:val="none" w:sz="0" w:space="0" w:color="auto"/>
              </w:divBdr>
            </w:div>
            <w:div w:id="1840542434">
              <w:marLeft w:val="0"/>
              <w:marRight w:val="0"/>
              <w:marTop w:val="0"/>
              <w:marBottom w:val="0"/>
              <w:divBdr>
                <w:top w:val="none" w:sz="0" w:space="0" w:color="auto"/>
                <w:left w:val="none" w:sz="0" w:space="0" w:color="auto"/>
                <w:bottom w:val="none" w:sz="0" w:space="0" w:color="auto"/>
                <w:right w:val="none" w:sz="0" w:space="0" w:color="auto"/>
              </w:divBdr>
            </w:div>
            <w:div w:id="56518079">
              <w:marLeft w:val="0"/>
              <w:marRight w:val="0"/>
              <w:marTop w:val="0"/>
              <w:marBottom w:val="0"/>
              <w:divBdr>
                <w:top w:val="none" w:sz="0" w:space="0" w:color="auto"/>
                <w:left w:val="none" w:sz="0" w:space="0" w:color="auto"/>
                <w:bottom w:val="none" w:sz="0" w:space="0" w:color="auto"/>
                <w:right w:val="none" w:sz="0" w:space="0" w:color="auto"/>
              </w:divBdr>
            </w:div>
            <w:div w:id="2124493876">
              <w:marLeft w:val="0"/>
              <w:marRight w:val="0"/>
              <w:marTop w:val="0"/>
              <w:marBottom w:val="0"/>
              <w:divBdr>
                <w:top w:val="none" w:sz="0" w:space="0" w:color="auto"/>
                <w:left w:val="none" w:sz="0" w:space="0" w:color="auto"/>
                <w:bottom w:val="none" w:sz="0" w:space="0" w:color="auto"/>
                <w:right w:val="none" w:sz="0" w:space="0" w:color="auto"/>
              </w:divBdr>
            </w:div>
            <w:div w:id="1332830666">
              <w:marLeft w:val="0"/>
              <w:marRight w:val="0"/>
              <w:marTop w:val="0"/>
              <w:marBottom w:val="0"/>
              <w:divBdr>
                <w:top w:val="none" w:sz="0" w:space="0" w:color="auto"/>
                <w:left w:val="none" w:sz="0" w:space="0" w:color="auto"/>
                <w:bottom w:val="none" w:sz="0" w:space="0" w:color="auto"/>
                <w:right w:val="none" w:sz="0" w:space="0" w:color="auto"/>
              </w:divBdr>
            </w:div>
          </w:divsChild>
        </w:div>
        <w:div w:id="382140945">
          <w:marLeft w:val="0"/>
          <w:marRight w:val="0"/>
          <w:marTop w:val="0"/>
          <w:marBottom w:val="0"/>
          <w:divBdr>
            <w:top w:val="none" w:sz="0" w:space="0" w:color="auto"/>
            <w:left w:val="none" w:sz="0" w:space="0" w:color="auto"/>
            <w:bottom w:val="none" w:sz="0" w:space="0" w:color="auto"/>
            <w:right w:val="none" w:sz="0" w:space="0" w:color="auto"/>
          </w:divBdr>
          <w:divsChild>
            <w:div w:id="503055628">
              <w:marLeft w:val="0"/>
              <w:marRight w:val="0"/>
              <w:marTop w:val="0"/>
              <w:marBottom w:val="0"/>
              <w:divBdr>
                <w:top w:val="none" w:sz="0" w:space="0" w:color="auto"/>
                <w:left w:val="none" w:sz="0" w:space="0" w:color="auto"/>
                <w:bottom w:val="none" w:sz="0" w:space="0" w:color="auto"/>
                <w:right w:val="none" w:sz="0" w:space="0" w:color="auto"/>
              </w:divBdr>
            </w:div>
            <w:div w:id="755252319">
              <w:marLeft w:val="0"/>
              <w:marRight w:val="0"/>
              <w:marTop w:val="0"/>
              <w:marBottom w:val="0"/>
              <w:divBdr>
                <w:top w:val="none" w:sz="0" w:space="0" w:color="auto"/>
                <w:left w:val="none" w:sz="0" w:space="0" w:color="auto"/>
                <w:bottom w:val="none" w:sz="0" w:space="0" w:color="auto"/>
                <w:right w:val="none" w:sz="0" w:space="0" w:color="auto"/>
              </w:divBdr>
            </w:div>
            <w:div w:id="424573831">
              <w:marLeft w:val="0"/>
              <w:marRight w:val="0"/>
              <w:marTop w:val="0"/>
              <w:marBottom w:val="0"/>
              <w:divBdr>
                <w:top w:val="none" w:sz="0" w:space="0" w:color="auto"/>
                <w:left w:val="none" w:sz="0" w:space="0" w:color="auto"/>
                <w:bottom w:val="none" w:sz="0" w:space="0" w:color="auto"/>
                <w:right w:val="none" w:sz="0" w:space="0" w:color="auto"/>
              </w:divBdr>
            </w:div>
            <w:div w:id="153372824">
              <w:marLeft w:val="0"/>
              <w:marRight w:val="0"/>
              <w:marTop w:val="0"/>
              <w:marBottom w:val="0"/>
              <w:divBdr>
                <w:top w:val="none" w:sz="0" w:space="0" w:color="auto"/>
                <w:left w:val="none" w:sz="0" w:space="0" w:color="auto"/>
                <w:bottom w:val="none" w:sz="0" w:space="0" w:color="auto"/>
                <w:right w:val="none" w:sz="0" w:space="0" w:color="auto"/>
              </w:divBdr>
            </w:div>
          </w:divsChild>
        </w:div>
        <w:div w:id="988634190">
          <w:marLeft w:val="0"/>
          <w:marRight w:val="0"/>
          <w:marTop w:val="0"/>
          <w:marBottom w:val="0"/>
          <w:divBdr>
            <w:top w:val="none" w:sz="0" w:space="0" w:color="auto"/>
            <w:left w:val="none" w:sz="0" w:space="0" w:color="auto"/>
            <w:bottom w:val="none" w:sz="0" w:space="0" w:color="auto"/>
            <w:right w:val="none" w:sz="0" w:space="0" w:color="auto"/>
          </w:divBdr>
          <w:divsChild>
            <w:div w:id="1038167841">
              <w:marLeft w:val="0"/>
              <w:marRight w:val="0"/>
              <w:marTop w:val="0"/>
              <w:marBottom w:val="0"/>
              <w:divBdr>
                <w:top w:val="none" w:sz="0" w:space="0" w:color="auto"/>
                <w:left w:val="none" w:sz="0" w:space="0" w:color="auto"/>
                <w:bottom w:val="none" w:sz="0" w:space="0" w:color="auto"/>
                <w:right w:val="none" w:sz="0" w:space="0" w:color="auto"/>
              </w:divBdr>
            </w:div>
            <w:div w:id="350686753">
              <w:marLeft w:val="0"/>
              <w:marRight w:val="0"/>
              <w:marTop w:val="0"/>
              <w:marBottom w:val="0"/>
              <w:divBdr>
                <w:top w:val="none" w:sz="0" w:space="0" w:color="auto"/>
                <w:left w:val="none" w:sz="0" w:space="0" w:color="auto"/>
                <w:bottom w:val="none" w:sz="0" w:space="0" w:color="auto"/>
                <w:right w:val="none" w:sz="0" w:space="0" w:color="auto"/>
              </w:divBdr>
            </w:div>
            <w:div w:id="525750013">
              <w:marLeft w:val="0"/>
              <w:marRight w:val="0"/>
              <w:marTop w:val="0"/>
              <w:marBottom w:val="0"/>
              <w:divBdr>
                <w:top w:val="none" w:sz="0" w:space="0" w:color="auto"/>
                <w:left w:val="none" w:sz="0" w:space="0" w:color="auto"/>
                <w:bottom w:val="none" w:sz="0" w:space="0" w:color="auto"/>
                <w:right w:val="none" w:sz="0" w:space="0" w:color="auto"/>
              </w:divBdr>
            </w:div>
            <w:div w:id="1680621556">
              <w:marLeft w:val="0"/>
              <w:marRight w:val="0"/>
              <w:marTop w:val="0"/>
              <w:marBottom w:val="0"/>
              <w:divBdr>
                <w:top w:val="none" w:sz="0" w:space="0" w:color="auto"/>
                <w:left w:val="none" w:sz="0" w:space="0" w:color="auto"/>
                <w:bottom w:val="none" w:sz="0" w:space="0" w:color="auto"/>
                <w:right w:val="none" w:sz="0" w:space="0" w:color="auto"/>
              </w:divBdr>
            </w:div>
            <w:div w:id="185411232">
              <w:marLeft w:val="0"/>
              <w:marRight w:val="0"/>
              <w:marTop w:val="0"/>
              <w:marBottom w:val="0"/>
              <w:divBdr>
                <w:top w:val="none" w:sz="0" w:space="0" w:color="auto"/>
                <w:left w:val="none" w:sz="0" w:space="0" w:color="auto"/>
                <w:bottom w:val="none" w:sz="0" w:space="0" w:color="auto"/>
                <w:right w:val="none" w:sz="0" w:space="0" w:color="auto"/>
              </w:divBdr>
            </w:div>
            <w:div w:id="1391921313">
              <w:marLeft w:val="0"/>
              <w:marRight w:val="0"/>
              <w:marTop w:val="0"/>
              <w:marBottom w:val="0"/>
              <w:divBdr>
                <w:top w:val="none" w:sz="0" w:space="0" w:color="auto"/>
                <w:left w:val="none" w:sz="0" w:space="0" w:color="auto"/>
                <w:bottom w:val="none" w:sz="0" w:space="0" w:color="auto"/>
                <w:right w:val="none" w:sz="0" w:space="0" w:color="auto"/>
              </w:divBdr>
            </w:div>
            <w:div w:id="152572221">
              <w:marLeft w:val="0"/>
              <w:marRight w:val="0"/>
              <w:marTop w:val="0"/>
              <w:marBottom w:val="0"/>
              <w:divBdr>
                <w:top w:val="none" w:sz="0" w:space="0" w:color="auto"/>
                <w:left w:val="none" w:sz="0" w:space="0" w:color="auto"/>
                <w:bottom w:val="none" w:sz="0" w:space="0" w:color="auto"/>
                <w:right w:val="none" w:sz="0" w:space="0" w:color="auto"/>
              </w:divBdr>
            </w:div>
            <w:div w:id="1493837800">
              <w:marLeft w:val="0"/>
              <w:marRight w:val="0"/>
              <w:marTop w:val="0"/>
              <w:marBottom w:val="0"/>
              <w:divBdr>
                <w:top w:val="none" w:sz="0" w:space="0" w:color="auto"/>
                <w:left w:val="none" w:sz="0" w:space="0" w:color="auto"/>
                <w:bottom w:val="none" w:sz="0" w:space="0" w:color="auto"/>
                <w:right w:val="none" w:sz="0" w:space="0" w:color="auto"/>
              </w:divBdr>
            </w:div>
            <w:div w:id="185142884">
              <w:marLeft w:val="0"/>
              <w:marRight w:val="0"/>
              <w:marTop w:val="0"/>
              <w:marBottom w:val="0"/>
              <w:divBdr>
                <w:top w:val="none" w:sz="0" w:space="0" w:color="auto"/>
                <w:left w:val="none" w:sz="0" w:space="0" w:color="auto"/>
                <w:bottom w:val="none" w:sz="0" w:space="0" w:color="auto"/>
                <w:right w:val="none" w:sz="0" w:space="0" w:color="auto"/>
              </w:divBdr>
            </w:div>
            <w:div w:id="256644572">
              <w:marLeft w:val="0"/>
              <w:marRight w:val="0"/>
              <w:marTop w:val="0"/>
              <w:marBottom w:val="0"/>
              <w:divBdr>
                <w:top w:val="none" w:sz="0" w:space="0" w:color="auto"/>
                <w:left w:val="none" w:sz="0" w:space="0" w:color="auto"/>
                <w:bottom w:val="none" w:sz="0" w:space="0" w:color="auto"/>
                <w:right w:val="none" w:sz="0" w:space="0" w:color="auto"/>
              </w:divBdr>
            </w:div>
            <w:div w:id="951857554">
              <w:marLeft w:val="0"/>
              <w:marRight w:val="0"/>
              <w:marTop w:val="0"/>
              <w:marBottom w:val="0"/>
              <w:divBdr>
                <w:top w:val="none" w:sz="0" w:space="0" w:color="auto"/>
                <w:left w:val="none" w:sz="0" w:space="0" w:color="auto"/>
                <w:bottom w:val="none" w:sz="0" w:space="0" w:color="auto"/>
                <w:right w:val="none" w:sz="0" w:space="0" w:color="auto"/>
              </w:divBdr>
            </w:div>
            <w:div w:id="1100563604">
              <w:marLeft w:val="0"/>
              <w:marRight w:val="0"/>
              <w:marTop w:val="0"/>
              <w:marBottom w:val="0"/>
              <w:divBdr>
                <w:top w:val="none" w:sz="0" w:space="0" w:color="auto"/>
                <w:left w:val="none" w:sz="0" w:space="0" w:color="auto"/>
                <w:bottom w:val="none" w:sz="0" w:space="0" w:color="auto"/>
                <w:right w:val="none" w:sz="0" w:space="0" w:color="auto"/>
              </w:divBdr>
            </w:div>
            <w:div w:id="2230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350198">
      <w:bodyDiv w:val="1"/>
      <w:marLeft w:val="0"/>
      <w:marRight w:val="0"/>
      <w:marTop w:val="0"/>
      <w:marBottom w:val="0"/>
      <w:divBdr>
        <w:top w:val="none" w:sz="0" w:space="0" w:color="auto"/>
        <w:left w:val="none" w:sz="0" w:space="0" w:color="auto"/>
        <w:bottom w:val="none" w:sz="0" w:space="0" w:color="auto"/>
        <w:right w:val="none" w:sz="0" w:space="0" w:color="auto"/>
      </w:divBdr>
    </w:div>
    <w:div w:id="741417263">
      <w:bodyDiv w:val="1"/>
      <w:marLeft w:val="0"/>
      <w:marRight w:val="0"/>
      <w:marTop w:val="0"/>
      <w:marBottom w:val="0"/>
      <w:divBdr>
        <w:top w:val="none" w:sz="0" w:space="0" w:color="auto"/>
        <w:left w:val="none" w:sz="0" w:space="0" w:color="auto"/>
        <w:bottom w:val="none" w:sz="0" w:space="0" w:color="auto"/>
        <w:right w:val="none" w:sz="0" w:space="0" w:color="auto"/>
      </w:divBdr>
    </w:div>
    <w:div w:id="820540913">
      <w:bodyDiv w:val="1"/>
      <w:marLeft w:val="0"/>
      <w:marRight w:val="0"/>
      <w:marTop w:val="0"/>
      <w:marBottom w:val="0"/>
      <w:divBdr>
        <w:top w:val="none" w:sz="0" w:space="0" w:color="auto"/>
        <w:left w:val="none" w:sz="0" w:space="0" w:color="auto"/>
        <w:bottom w:val="none" w:sz="0" w:space="0" w:color="auto"/>
        <w:right w:val="none" w:sz="0" w:space="0" w:color="auto"/>
      </w:divBdr>
    </w:div>
    <w:div w:id="845557569">
      <w:bodyDiv w:val="1"/>
      <w:marLeft w:val="0"/>
      <w:marRight w:val="0"/>
      <w:marTop w:val="0"/>
      <w:marBottom w:val="0"/>
      <w:divBdr>
        <w:top w:val="none" w:sz="0" w:space="0" w:color="auto"/>
        <w:left w:val="none" w:sz="0" w:space="0" w:color="auto"/>
        <w:bottom w:val="none" w:sz="0" w:space="0" w:color="auto"/>
        <w:right w:val="none" w:sz="0" w:space="0" w:color="auto"/>
      </w:divBdr>
    </w:div>
    <w:div w:id="868495386">
      <w:bodyDiv w:val="1"/>
      <w:marLeft w:val="0"/>
      <w:marRight w:val="0"/>
      <w:marTop w:val="0"/>
      <w:marBottom w:val="0"/>
      <w:divBdr>
        <w:top w:val="none" w:sz="0" w:space="0" w:color="auto"/>
        <w:left w:val="none" w:sz="0" w:space="0" w:color="auto"/>
        <w:bottom w:val="none" w:sz="0" w:space="0" w:color="auto"/>
        <w:right w:val="none" w:sz="0" w:space="0" w:color="auto"/>
      </w:divBdr>
    </w:div>
    <w:div w:id="894584856">
      <w:bodyDiv w:val="1"/>
      <w:marLeft w:val="0"/>
      <w:marRight w:val="0"/>
      <w:marTop w:val="0"/>
      <w:marBottom w:val="0"/>
      <w:divBdr>
        <w:top w:val="none" w:sz="0" w:space="0" w:color="auto"/>
        <w:left w:val="none" w:sz="0" w:space="0" w:color="auto"/>
        <w:bottom w:val="none" w:sz="0" w:space="0" w:color="auto"/>
        <w:right w:val="none" w:sz="0" w:space="0" w:color="auto"/>
      </w:divBdr>
    </w:div>
    <w:div w:id="982005159">
      <w:bodyDiv w:val="1"/>
      <w:marLeft w:val="0"/>
      <w:marRight w:val="0"/>
      <w:marTop w:val="0"/>
      <w:marBottom w:val="0"/>
      <w:divBdr>
        <w:top w:val="none" w:sz="0" w:space="0" w:color="auto"/>
        <w:left w:val="none" w:sz="0" w:space="0" w:color="auto"/>
        <w:bottom w:val="none" w:sz="0" w:space="0" w:color="auto"/>
        <w:right w:val="none" w:sz="0" w:space="0" w:color="auto"/>
      </w:divBdr>
    </w:div>
    <w:div w:id="1009991183">
      <w:bodyDiv w:val="1"/>
      <w:marLeft w:val="0"/>
      <w:marRight w:val="0"/>
      <w:marTop w:val="0"/>
      <w:marBottom w:val="0"/>
      <w:divBdr>
        <w:top w:val="none" w:sz="0" w:space="0" w:color="auto"/>
        <w:left w:val="none" w:sz="0" w:space="0" w:color="auto"/>
        <w:bottom w:val="none" w:sz="0" w:space="0" w:color="auto"/>
        <w:right w:val="none" w:sz="0" w:space="0" w:color="auto"/>
      </w:divBdr>
    </w:div>
    <w:div w:id="1016619663">
      <w:bodyDiv w:val="1"/>
      <w:marLeft w:val="0"/>
      <w:marRight w:val="0"/>
      <w:marTop w:val="0"/>
      <w:marBottom w:val="0"/>
      <w:divBdr>
        <w:top w:val="none" w:sz="0" w:space="0" w:color="auto"/>
        <w:left w:val="none" w:sz="0" w:space="0" w:color="auto"/>
        <w:bottom w:val="none" w:sz="0" w:space="0" w:color="auto"/>
        <w:right w:val="none" w:sz="0" w:space="0" w:color="auto"/>
      </w:divBdr>
    </w:div>
    <w:div w:id="1078406114">
      <w:bodyDiv w:val="1"/>
      <w:marLeft w:val="0"/>
      <w:marRight w:val="0"/>
      <w:marTop w:val="0"/>
      <w:marBottom w:val="0"/>
      <w:divBdr>
        <w:top w:val="none" w:sz="0" w:space="0" w:color="auto"/>
        <w:left w:val="none" w:sz="0" w:space="0" w:color="auto"/>
        <w:bottom w:val="none" w:sz="0" w:space="0" w:color="auto"/>
        <w:right w:val="none" w:sz="0" w:space="0" w:color="auto"/>
      </w:divBdr>
    </w:div>
    <w:div w:id="1114128388">
      <w:bodyDiv w:val="1"/>
      <w:marLeft w:val="0"/>
      <w:marRight w:val="0"/>
      <w:marTop w:val="0"/>
      <w:marBottom w:val="0"/>
      <w:divBdr>
        <w:top w:val="none" w:sz="0" w:space="0" w:color="auto"/>
        <w:left w:val="none" w:sz="0" w:space="0" w:color="auto"/>
        <w:bottom w:val="none" w:sz="0" w:space="0" w:color="auto"/>
        <w:right w:val="none" w:sz="0" w:space="0" w:color="auto"/>
      </w:divBdr>
    </w:div>
    <w:div w:id="1157460439">
      <w:bodyDiv w:val="1"/>
      <w:marLeft w:val="0"/>
      <w:marRight w:val="0"/>
      <w:marTop w:val="0"/>
      <w:marBottom w:val="0"/>
      <w:divBdr>
        <w:top w:val="none" w:sz="0" w:space="0" w:color="auto"/>
        <w:left w:val="none" w:sz="0" w:space="0" w:color="auto"/>
        <w:bottom w:val="none" w:sz="0" w:space="0" w:color="auto"/>
        <w:right w:val="none" w:sz="0" w:space="0" w:color="auto"/>
      </w:divBdr>
    </w:div>
    <w:div w:id="1167328101">
      <w:bodyDiv w:val="1"/>
      <w:marLeft w:val="0"/>
      <w:marRight w:val="0"/>
      <w:marTop w:val="0"/>
      <w:marBottom w:val="0"/>
      <w:divBdr>
        <w:top w:val="none" w:sz="0" w:space="0" w:color="auto"/>
        <w:left w:val="none" w:sz="0" w:space="0" w:color="auto"/>
        <w:bottom w:val="none" w:sz="0" w:space="0" w:color="auto"/>
        <w:right w:val="none" w:sz="0" w:space="0" w:color="auto"/>
      </w:divBdr>
      <w:divsChild>
        <w:div w:id="267739839">
          <w:marLeft w:val="0"/>
          <w:marRight w:val="0"/>
          <w:marTop w:val="0"/>
          <w:marBottom w:val="0"/>
          <w:divBdr>
            <w:top w:val="none" w:sz="0" w:space="0" w:color="auto"/>
            <w:left w:val="none" w:sz="0" w:space="0" w:color="auto"/>
            <w:bottom w:val="none" w:sz="0" w:space="0" w:color="auto"/>
            <w:right w:val="none" w:sz="0" w:space="0" w:color="auto"/>
          </w:divBdr>
        </w:div>
        <w:div w:id="1560363401">
          <w:marLeft w:val="0"/>
          <w:marRight w:val="0"/>
          <w:marTop w:val="0"/>
          <w:marBottom w:val="0"/>
          <w:divBdr>
            <w:top w:val="none" w:sz="0" w:space="0" w:color="auto"/>
            <w:left w:val="none" w:sz="0" w:space="0" w:color="auto"/>
            <w:bottom w:val="none" w:sz="0" w:space="0" w:color="auto"/>
            <w:right w:val="none" w:sz="0" w:space="0" w:color="auto"/>
          </w:divBdr>
        </w:div>
      </w:divsChild>
    </w:div>
    <w:div w:id="1183668158">
      <w:bodyDiv w:val="1"/>
      <w:marLeft w:val="0"/>
      <w:marRight w:val="0"/>
      <w:marTop w:val="0"/>
      <w:marBottom w:val="0"/>
      <w:divBdr>
        <w:top w:val="none" w:sz="0" w:space="0" w:color="auto"/>
        <w:left w:val="none" w:sz="0" w:space="0" w:color="auto"/>
        <w:bottom w:val="none" w:sz="0" w:space="0" w:color="auto"/>
        <w:right w:val="none" w:sz="0" w:space="0" w:color="auto"/>
      </w:divBdr>
    </w:div>
    <w:div w:id="1211112408">
      <w:bodyDiv w:val="1"/>
      <w:marLeft w:val="0"/>
      <w:marRight w:val="0"/>
      <w:marTop w:val="0"/>
      <w:marBottom w:val="0"/>
      <w:divBdr>
        <w:top w:val="none" w:sz="0" w:space="0" w:color="auto"/>
        <w:left w:val="none" w:sz="0" w:space="0" w:color="auto"/>
        <w:bottom w:val="none" w:sz="0" w:space="0" w:color="auto"/>
        <w:right w:val="none" w:sz="0" w:space="0" w:color="auto"/>
      </w:divBdr>
    </w:div>
    <w:div w:id="1225026957">
      <w:bodyDiv w:val="1"/>
      <w:marLeft w:val="0"/>
      <w:marRight w:val="0"/>
      <w:marTop w:val="0"/>
      <w:marBottom w:val="0"/>
      <w:divBdr>
        <w:top w:val="none" w:sz="0" w:space="0" w:color="auto"/>
        <w:left w:val="none" w:sz="0" w:space="0" w:color="auto"/>
        <w:bottom w:val="none" w:sz="0" w:space="0" w:color="auto"/>
        <w:right w:val="none" w:sz="0" w:space="0" w:color="auto"/>
      </w:divBdr>
      <w:divsChild>
        <w:div w:id="711149900">
          <w:marLeft w:val="0"/>
          <w:marRight w:val="0"/>
          <w:marTop w:val="0"/>
          <w:marBottom w:val="0"/>
          <w:divBdr>
            <w:top w:val="none" w:sz="0" w:space="0" w:color="auto"/>
            <w:left w:val="none" w:sz="0" w:space="0" w:color="auto"/>
            <w:bottom w:val="none" w:sz="0" w:space="0" w:color="auto"/>
            <w:right w:val="none" w:sz="0" w:space="0" w:color="auto"/>
          </w:divBdr>
          <w:divsChild>
            <w:div w:id="1836800921">
              <w:marLeft w:val="0"/>
              <w:marRight w:val="0"/>
              <w:marTop w:val="0"/>
              <w:marBottom w:val="0"/>
              <w:divBdr>
                <w:top w:val="none" w:sz="0" w:space="0" w:color="auto"/>
                <w:left w:val="none" w:sz="0" w:space="0" w:color="auto"/>
                <w:bottom w:val="none" w:sz="0" w:space="0" w:color="auto"/>
                <w:right w:val="none" w:sz="0" w:space="0" w:color="auto"/>
              </w:divBdr>
            </w:div>
          </w:divsChild>
        </w:div>
        <w:div w:id="951060742">
          <w:marLeft w:val="0"/>
          <w:marRight w:val="0"/>
          <w:marTop w:val="0"/>
          <w:marBottom w:val="0"/>
          <w:divBdr>
            <w:top w:val="none" w:sz="0" w:space="0" w:color="auto"/>
            <w:left w:val="none" w:sz="0" w:space="0" w:color="auto"/>
            <w:bottom w:val="none" w:sz="0" w:space="0" w:color="auto"/>
            <w:right w:val="none" w:sz="0" w:space="0" w:color="auto"/>
          </w:divBdr>
          <w:divsChild>
            <w:div w:id="130178553">
              <w:marLeft w:val="0"/>
              <w:marRight w:val="0"/>
              <w:marTop w:val="0"/>
              <w:marBottom w:val="0"/>
              <w:divBdr>
                <w:top w:val="none" w:sz="0" w:space="0" w:color="auto"/>
                <w:left w:val="none" w:sz="0" w:space="0" w:color="auto"/>
                <w:bottom w:val="none" w:sz="0" w:space="0" w:color="auto"/>
                <w:right w:val="none" w:sz="0" w:space="0" w:color="auto"/>
              </w:divBdr>
            </w:div>
          </w:divsChild>
        </w:div>
        <w:div w:id="1680543611">
          <w:marLeft w:val="0"/>
          <w:marRight w:val="0"/>
          <w:marTop w:val="0"/>
          <w:marBottom w:val="0"/>
          <w:divBdr>
            <w:top w:val="none" w:sz="0" w:space="0" w:color="auto"/>
            <w:left w:val="none" w:sz="0" w:space="0" w:color="auto"/>
            <w:bottom w:val="none" w:sz="0" w:space="0" w:color="auto"/>
            <w:right w:val="none" w:sz="0" w:space="0" w:color="auto"/>
          </w:divBdr>
          <w:divsChild>
            <w:div w:id="1092511704">
              <w:marLeft w:val="0"/>
              <w:marRight w:val="0"/>
              <w:marTop w:val="0"/>
              <w:marBottom w:val="0"/>
              <w:divBdr>
                <w:top w:val="none" w:sz="0" w:space="0" w:color="auto"/>
                <w:left w:val="none" w:sz="0" w:space="0" w:color="auto"/>
                <w:bottom w:val="none" w:sz="0" w:space="0" w:color="auto"/>
                <w:right w:val="none" w:sz="0" w:space="0" w:color="auto"/>
              </w:divBdr>
            </w:div>
          </w:divsChild>
        </w:div>
        <w:div w:id="61677840">
          <w:marLeft w:val="0"/>
          <w:marRight w:val="0"/>
          <w:marTop w:val="0"/>
          <w:marBottom w:val="0"/>
          <w:divBdr>
            <w:top w:val="none" w:sz="0" w:space="0" w:color="auto"/>
            <w:left w:val="none" w:sz="0" w:space="0" w:color="auto"/>
            <w:bottom w:val="none" w:sz="0" w:space="0" w:color="auto"/>
            <w:right w:val="none" w:sz="0" w:space="0" w:color="auto"/>
          </w:divBdr>
          <w:divsChild>
            <w:div w:id="1993832980">
              <w:marLeft w:val="0"/>
              <w:marRight w:val="0"/>
              <w:marTop w:val="0"/>
              <w:marBottom w:val="0"/>
              <w:divBdr>
                <w:top w:val="none" w:sz="0" w:space="0" w:color="auto"/>
                <w:left w:val="none" w:sz="0" w:space="0" w:color="auto"/>
                <w:bottom w:val="none" w:sz="0" w:space="0" w:color="auto"/>
                <w:right w:val="none" w:sz="0" w:space="0" w:color="auto"/>
              </w:divBdr>
            </w:div>
          </w:divsChild>
        </w:div>
        <w:div w:id="1193348361">
          <w:marLeft w:val="0"/>
          <w:marRight w:val="0"/>
          <w:marTop w:val="0"/>
          <w:marBottom w:val="0"/>
          <w:divBdr>
            <w:top w:val="none" w:sz="0" w:space="0" w:color="auto"/>
            <w:left w:val="none" w:sz="0" w:space="0" w:color="auto"/>
            <w:bottom w:val="none" w:sz="0" w:space="0" w:color="auto"/>
            <w:right w:val="none" w:sz="0" w:space="0" w:color="auto"/>
          </w:divBdr>
          <w:divsChild>
            <w:div w:id="1830900403">
              <w:marLeft w:val="0"/>
              <w:marRight w:val="0"/>
              <w:marTop w:val="0"/>
              <w:marBottom w:val="0"/>
              <w:divBdr>
                <w:top w:val="none" w:sz="0" w:space="0" w:color="auto"/>
                <w:left w:val="none" w:sz="0" w:space="0" w:color="auto"/>
                <w:bottom w:val="none" w:sz="0" w:space="0" w:color="auto"/>
                <w:right w:val="none" w:sz="0" w:space="0" w:color="auto"/>
              </w:divBdr>
            </w:div>
          </w:divsChild>
        </w:div>
        <w:div w:id="712655476">
          <w:marLeft w:val="0"/>
          <w:marRight w:val="0"/>
          <w:marTop w:val="0"/>
          <w:marBottom w:val="0"/>
          <w:divBdr>
            <w:top w:val="none" w:sz="0" w:space="0" w:color="auto"/>
            <w:left w:val="none" w:sz="0" w:space="0" w:color="auto"/>
            <w:bottom w:val="none" w:sz="0" w:space="0" w:color="auto"/>
            <w:right w:val="none" w:sz="0" w:space="0" w:color="auto"/>
          </w:divBdr>
          <w:divsChild>
            <w:div w:id="257519174">
              <w:marLeft w:val="0"/>
              <w:marRight w:val="0"/>
              <w:marTop w:val="0"/>
              <w:marBottom w:val="0"/>
              <w:divBdr>
                <w:top w:val="none" w:sz="0" w:space="0" w:color="auto"/>
                <w:left w:val="none" w:sz="0" w:space="0" w:color="auto"/>
                <w:bottom w:val="none" w:sz="0" w:space="0" w:color="auto"/>
                <w:right w:val="none" w:sz="0" w:space="0" w:color="auto"/>
              </w:divBdr>
            </w:div>
          </w:divsChild>
        </w:div>
        <w:div w:id="956519658">
          <w:marLeft w:val="0"/>
          <w:marRight w:val="0"/>
          <w:marTop w:val="0"/>
          <w:marBottom w:val="0"/>
          <w:divBdr>
            <w:top w:val="none" w:sz="0" w:space="0" w:color="auto"/>
            <w:left w:val="none" w:sz="0" w:space="0" w:color="auto"/>
            <w:bottom w:val="none" w:sz="0" w:space="0" w:color="auto"/>
            <w:right w:val="none" w:sz="0" w:space="0" w:color="auto"/>
          </w:divBdr>
          <w:divsChild>
            <w:div w:id="1900744506">
              <w:marLeft w:val="0"/>
              <w:marRight w:val="0"/>
              <w:marTop w:val="0"/>
              <w:marBottom w:val="0"/>
              <w:divBdr>
                <w:top w:val="none" w:sz="0" w:space="0" w:color="auto"/>
                <w:left w:val="none" w:sz="0" w:space="0" w:color="auto"/>
                <w:bottom w:val="none" w:sz="0" w:space="0" w:color="auto"/>
                <w:right w:val="none" w:sz="0" w:space="0" w:color="auto"/>
              </w:divBdr>
            </w:div>
            <w:div w:id="965236992">
              <w:marLeft w:val="0"/>
              <w:marRight w:val="0"/>
              <w:marTop w:val="0"/>
              <w:marBottom w:val="0"/>
              <w:divBdr>
                <w:top w:val="none" w:sz="0" w:space="0" w:color="auto"/>
                <w:left w:val="none" w:sz="0" w:space="0" w:color="auto"/>
                <w:bottom w:val="none" w:sz="0" w:space="0" w:color="auto"/>
                <w:right w:val="none" w:sz="0" w:space="0" w:color="auto"/>
              </w:divBdr>
            </w:div>
            <w:div w:id="2029864598">
              <w:marLeft w:val="0"/>
              <w:marRight w:val="0"/>
              <w:marTop w:val="0"/>
              <w:marBottom w:val="0"/>
              <w:divBdr>
                <w:top w:val="none" w:sz="0" w:space="0" w:color="auto"/>
                <w:left w:val="none" w:sz="0" w:space="0" w:color="auto"/>
                <w:bottom w:val="none" w:sz="0" w:space="0" w:color="auto"/>
                <w:right w:val="none" w:sz="0" w:space="0" w:color="auto"/>
              </w:divBdr>
            </w:div>
            <w:div w:id="3362856">
              <w:marLeft w:val="0"/>
              <w:marRight w:val="0"/>
              <w:marTop w:val="0"/>
              <w:marBottom w:val="0"/>
              <w:divBdr>
                <w:top w:val="none" w:sz="0" w:space="0" w:color="auto"/>
                <w:left w:val="none" w:sz="0" w:space="0" w:color="auto"/>
                <w:bottom w:val="none" w:sz="0" w:space="0" w:color="auto"/>
                <w:right w:val="none" w:sz="0" w:space="0" w:color="auto"/>
              </w:divBdr>
            </w:div>
            <w:div w:id="902906774">
              <w:marLeft w:val="0"/>
              <w:marRight w:val="0"/>
              <w:marTop w:val="0"/>
              <w:marBottom w:val="0"/>
              <w:divBdr>
                <w:top w:val="none" w:sz="0" w:space="0" w:color="auto"/>
                <w:left w:val="none" w:sz="0" w:space="0" w:color="auto"/>
                <w:bottom w:val="none" w:sz="0" w:space="0" w:color="auto"/>
                <w:right w:val="none" w:sz="0" w:space="0" w:color="auto"/>
              </w:divBdr>
            </w:div>
            <w:div w:id="1582566934">
              <w:marLeft w:val="0"/>
              <w:marRight w:val="0"/>
              <w:marTop w:val="0"/>
              <w:marBottom w:val="0"/>
              <w:divBdr>
                <w:top w:val="none" w:sz="0" w:space="0" w:color="auto"/>
                <w:left w:val="none" w:sz="0" w:space="0" w:color="auto"/>
                <w:bottom w:val="none" w:sz="0" w:space="0" w:color="auto"/>
                <w:right w:val="none" w:sz="0" w:space="0" w:color="auto"/>
              </w:divBdr>
            </w:div>
            <w:div w:id="1812677006">
              <w:marLeft w:val="0"/>
              <w:marRight w:val="0"/>
              <w:marTop w:val="0"/>
              <w:marBottom w:val="0"/>
              <w:divBdr>
                <w:top w:val="none" w:sz="0" w:space="0" w:color="auto"/>
                <w:left w:val="none" w:sz="0" w:space="0" w:color="auto"/>
                <w:bottom w:val="none" w:sz="0" w:space="0" w:color="auto"/>
                <w:right w:val="none" w:sz="0" w:space="0" w:color="auto"/>
              </w:divBdr>
            </w:div>
            <w:div w:id="194851350">
              <w:marLeft w:val="0"/>
              <w:marRight w:val="0"/>
              <w:marTop w:val="0"/>
              <w:marBottom w:val="0"/>
              <w:divBdr>
                <w:top w:val="none" w:sz="0" w:space="0" w:color="auto"/>
                <w:left w:val="none" w:sz="0" w:space="0" w:color="auto"/>
                <w:bottom w:val="none" w:sz="0" w:space="0" w:color="auto"/>
                <w:right w:val="none" w:sz="0" w:space="0" w:color="auto"/>
              </w:divBdr>
            </w:div>
            <w:div w:id="251401022">
              <w:marLeft w:val="0"/>
              <w:marRight w:val="0"/>
              <w:marTop w:val="0"/>
              <w:marBottom w:val="0"/>
              <w:divBdr>
                <w:top w:val="none" w:sz="0" w:space="0" w:color="auto"/>
                <w:left w:val="none" w:sz="0" w:space="0" w:color="auto"/>
                <w:bottom w:val="none" w:sz="0" w:space="0" w:color="auto"/>
                <w:right w:val="none" w:sz="0" w:space="0" w:color="auto"/>
              </w:divBdr>
            </w:div>
            <w:div w:id="1016736726">
              <w:marLeft w:val="0"/>
              <w:marRight w:val="0"/>
              <w:marTop w:val="0"/>
              <w:marBottom w:val="0"/>
              <w:divBdr>
                <w:top w:val="none" w:sz="0" w:space="0" w:color="auto"/>
                <w:left w:val="none" w:sz="0" w:space="0" w:color="auto"/>
                <w:bottom w:val="none" w:sz="0" w:space="0" w:color="auto"/>
                <w:right w:val="none" w:sz="0" w:space="0" w:color="auto"/>
              </w:divBdr>
            </w:div>
          </w:divsChild>
        </w:div>
        <w:div w:id="816268622">
          <w:marLeft w:val="0"/>
          <w:marRight w:val="0"/>
          <w:marTop w:val="0"/>
          <w:marBottom w:val="0"/>
          <w:divBdr>
            <w:top w:val="none" w:sz="0" w:space="0" w:color="auto"/>
            <w:left w:val="none" w:sz="0" w:space="0" w:color="auto"/>
            <w:bottom w:val="none" w:sz="0" w:space="0" w:color="auto"/>
            <w:right w:val="none" w:sz="0" w:space="0" w:color="auto"/>
          </w:divBdr>
          <w:divsChild>
            <w:div w:id="1223713803">
              <w:marLeft w:val="0"/>
              <w:marRight w:val="0"/>
              <w:marTop w:val="0"/>
              <w:marBottom w:val="0"/>
              <w:divBdr>
                <w:top w:val="none" w:sz="0" w:space="0" w:color="auto"/>
                <w:left w:val="none" w:sz="0" w:space="0" w:color="auto"/>
                <w:bottom w:val="none" w:sz="0" w:space="0" w:color="auto"/>
                <w:right w:val="none" w:sz="0" w:space="0" w:color="auto"/>
              </w:divBdr>
            </w:div>
            <w:div w:id="268051972">
              <w:marLeft w:val="0"/>
              <w:marRight w:val="0"/>
              <w:marTop w:val="0"/>
              <w:marBottom w:val="0"/>
              <w:divBdr>
                <w:top w:val="none" w:sz="0" w:space="0" w:color="auto"/>
                <w:left w:val="none" w:sz="0" w:space="0" w:color="auto"/>
                <w:bottom w:val="none" w:sz="0" w:space="0" w:color="auto"/>
                <w:right w:val="none" w:sz="0" w:space="0" w:color="auto"/>
              </w:divBdr>
            </w:div>
            <w:div w:id="179470022">
              <w:marLeft w:val="0"/>
              <w:marRight w:val="0"/>
              <w:marTop w:val="0"/>
              <w:marBottom w:val="0"/>
              <w:divBdr>
                <w:top w:val="none" w:sz="0" w:space="0" w:color="auto"/>
                <w:left w:val="none" w:sz="0" w:space="0" w:color="auto"/>
                <w:bottom w:val="none" w:sz="0" w:space="0" w:color="auto"/>
                <w:right w:val="none" w:sz="0" w:space="0" w:color="auto"/>
              </w:divBdr>
            </w:div>
            <w:div w:id="702480890">
              <w:marLeft w:val="0"/>
              <w:marRight w:val="0"/>
              <w:marTop w:val="0"/>
              <w:marBottom w:val="0"/>
              <w:divBdr>
                <w:top w:val="none" w:sz="0" w:space="0" w:color="auto"/>
                <w:left w:val="none" w:sz="0" w:space="0" w:color="auto"/>
                <w:bottom w:val="none" w:sz="0" w:space="0" w:color="auto"/>
                <w:right w:val="none" w:sz="0" w:space="0" w:color="auto"/>
              </w:divBdr>
            </w:div>
            <w:div w:id="1455245534">
              <w:marLeft w:val="0"/>
              <w:marRight w:val="0"/>
              <w:marTop w:val="0"/>
              <w:marBottom w:val="0"/>
              <w:divBdr>
                <w:top w:val="none" w:sz="0" w:space="0" w:color="auto"/>
                <w:left w:val="none" w:sz="0" w:space="0" w:color="auto"/>
                <w:bottom w:val="none" w:sz="0" w:space="0" w:color="auto"/>
                <w:right w:val="none" w:sz="0" w:space="0" w:color="auto"/>
              </w:divBdr>
            </w:div>
            <w:div w:id="48846411">
              <w:marLeft w:val="0"/>
              <w:marRight w:val="0"/>
              <w:marTop w:val="0"/>
              <w:marBottom w:val="0"/>
              <w:divBdr>
                <w:top w:val="none" w:sz="0" w:space="0" w:color="auto"/>
                <w:left w:val="none" w:sz="0" w:space="0" w:color="auto"/>
                <w:bottom w:val="none" w:sz="0" w:space="0" w:color="auto"/>
                <w:right w:val="none" w:sz="0" w:space="0" w:color="auto"/>
              </w:divBdr>
            </w:div>
            <w:div w:id="642076400">
              <w:marLeft w:val="0"/>
              <w:marRight w:val="0"/>
              <w:marTop w:val="0"/>
              <w:marBottom w:val="0"/>
              <w:divBdr>
                <w:top w:val="none" w:sz="0" w:space="0" w:color="auto"/>
                <w:left w:val="none" w:sz="0" w:space="0" w:color="auto"/>
                <w:bottom w:val="none" w:sz="0" w:space="0" w:color="auto"/>
                <w:right w:val="none" w:sz="0" w:space="0" w:color="auto"/>
              </w:divBdr>
            </w:div>
            <w:div w:id="1710910131">
              <w:marLeft w:val="0"/>
              <w:marRight w:val="0"/>
              <w:marTop w:val="0"/>
              <w:marBottom w:val="0"/>
              <w:divBdr>
                <w:top w:val="none" w:sz="0" w:space="0" w:color="auto"/>
                <w:left w:val="none" w:sz="0" w:space="0" w:color="auto"/>
                <w:bottom w:val="none" w:sz="0" w:space="0" w:color="auto"/>
                <w:right w:val="none" w:sz="0" w:space="0" w:color="auto"/>
              </w:divBdr>
            </w:div>
            <w:div w:id="85007240">
              <w:marLeft w:val="0"/>
              <w:marRight w:val="0"/>
              <w:marTop w:val="0"/>
              <w:marBottom w:val="0"/>
              <w:divBdr>
                <w:top w:val="none" w:sz="0" w:space="0" w:color="auto"/>
                <w:left w:val="none" w:sz="0" w:space="0" w:color="auto"/>
                <w:bottom w:val="none" w:sz="0" w:space="0" w:color="auto"/>
                <w:right w:val="none" w:sz="0" w:space="0" w:color="auto"/>
              </w:divBdr>
            </w:div>
            <w:div w:id="864758780">
              <w:marLeft w:val="0"/>
              <w:marRight w:val="0"/>
              <w:marTop w:val="0"/>
              <w:marBottom w:val="0"/>
              <w:divBdr>
                <w:top w:val="none" w:sz="0" w:space="0" w:color="auto"/>
                <w:left w:val="none" w:sz="0" w:space="0" w:color="auto"/>
                <w:bottom w:val="none" w:sz="0" w:space="0" w:color="auto"/>
                <w:right w:val="none" w:sz="0" w:space="0" w:color="auto"/>
              </w:divBdr>
            </w:div>
            <w:div w:id="1867062659">
              <w:marLeft w:val="0"/>
              <w:marRight w:val="0"/>
              <w:marTop w:val="0"/>
              <w:marBottom w:val="0"/>
              <w:divBdr>
                <w:top w:val="none" w:sz="0" w:space="0" w:color="auto"/>
                <w:left w:val="none" w:sz="0" w:space="0" w:color="auto"/>
                <w:bottom w:val="none" w:sz="0" w:space="0" w:color="auto"/>
                <w:right w:val="none" w:sz="0" w:space="0" w:color="auto"/>
              </w:divBdr>
            </w:div>
          </w:divsChild>
        </w:div>
        <w:div w:id="977763230">
          <w:marLeft w:val="0"/>
          <w:marRight w:val="0"/>
          <w:marTop w:val="0"/>
          <w:marBottom w:val="0"/>
          <w:divBdr>
            <w:top w:val="none" w:sz="0" w:space="0" w:color="auto"/>
            <w:left w:val="none" w:sz="0" w:space="0" w:color="auto"/>
            <w:bottom w:val="none" w:sz="0" w:space="0" w:color="auto"/>
            <w:right w:val="none" w:sz="0" w:space="0" w:color="auto"/>
          </w:divBdr>
          <w:divsChild>
            <w:div w:id="1752507187">
              <w:marLeft w:val="0"/>
              <w:marRight w:val="0"/>
              <w:marTop w:val="0"/>
              <w:marBottom w:val="0"/>
              <w:divBdr>
                <w:top w:val="none" w:sz="0" w:space="0" w:color="auto"/>
                <w:left w:val="none" w:sz="0" w:space="0" w:color="auto"/>
                <w:bottom w:val="none" w:sz="0" w:space="0" w:color="auto"/>
                <w:right w:val="none" w:sz="0" w:space="0" w:color="auto"/>
              </w:divBdr>
            </w:div>
            <w:div w:id="1850220686">
              <w:marLeft w:val="0"/>
              <w:marRight w:val="0"/>
              <w:marTop w:val="0"/>
              <w:marBottom w:val="0"/>
              <w:divBdr>
                <w:top w:val="none" w:sz="0" w:space="0" w:color="auto"/>
                <w:left w:val="none" w:sz="0" w:space="0" w:color="auto"/>
                <w:bottom w:val="none" w:sz="0" w:space="0" w:color="auto"/>
                <w:right w:val="none" w:sz="0" w:space="0" w:color="auto"/>
              </w:divBdr>
            </w:div>
            <w:div w:id="1713462095">
              <w:marLeft w:val="0"/>
              <w:marRight w:val="0"/>
              <w:marTop w:val="0"/>
              <w:marBottom w:val="0"/>
              <w:divBdr>
                <w:top w:val="none" w:sz="0" w:space="0" w:color="auto"/>
                <w:left w:val="none" w:sz="0" w:space="0" w:color="auto"/>
                <w:bottom w:val="none" w:sz="0" w:space="0" w:color="auto"/>
                <w:right w:val="none" w:sz="0" w:space="0" w:color="auto"/>
              </w:divBdr>
            </w:div>
            <w:div w:id="356933723">
              <w:marLeft w:val="0"/>
              <w:marRight w:val="0"/>
              <w:marTop w:val="0"/>
              <w:marBottom w:val="0"/>
              <w:divBdr>
                <w:top w:val="none" w:sz="0" w:space="0" w:color="auto"/>
                <w:left w:val="none" w:sz="0" w:space="0" w:color="auto"/>
                <w:bottom w:val="none" w:sz="0" w:space="0" w:color="auto"/>
                <w:right w:val="none" w:sz="0" w:space="0" w:color="auto"/>
              </w:divBdr>
            </w:div>
          </w:divsChild>
        </w:div>
        <w:div w:id="1000960204">
          <w:marLeft w:val="0"/>
          <w:marRight w:val="0"/>
          <w:marTop w:val="0"/>
          <w:marBottom w:val="0"/>
          <w:divBdr>
            <w:top w:val="none" w:sz="0" w:space="0" w:color="auto"/>
            <w:left w:val="none" w:sz="0" w:space="0" w:color="auto"/>
            <w:bottom w:val="none" w:sz="0" w:space="0" w:color="auto"/>
            <w:right w:val="none" w:sz="0" w:space="0" w:color="auto"/>
          </w:divBdr>
          <w:divsChild>
            <w:div w:id="201599480">
              <w:marLeft w:val="0"/>
              <w:marRight w:val="0"/>
              <w:marTop w:val="0"/>
              <w:marBottom w:val="0"/>
              <w:divBdr>
                <w:top w:val="none" w:sz="0" w:space="0" w:color="auto"/>
                <w:left w:val="none" w:sz="0" w:space="0" w:color="auto"/>
                <w:bottom w:val="none" w:sz="0" w:space="0" w:color="auto"/>
                <w:right w:val="none" w:sz="0" w:space="0" w:color="auto"/>
              </w:divBdr>
            </w:div>
            <w:div w:id="611933852">
              <w:marLeft w:val="0"/>
              <w:marRight w:val="0"/>
              <w:marTop w:val="0"/>
              <w:marBottom w:val="0"/>
              <w:divBdr>
                <w:top w:val="none" w:sz="0" w:space="0" w:color="auto"/>
                <w:left w:val="none" w:sz="0" w:space="0" w:color="auto"/>
                <w:bottom w:val="none" w:sz="0" w:space="0" w:color="auto"/>
                <w:right w:val="none" w:sz="0" w:space="0" w:color="auto"/>
              </w:divBdr>
            </w:div>
            <w:div w:id="579366861">
              <w:marLeft w:val="0"/>
              <w:marRight w:val="0"/>
              <w:marTop w:val="0"/>
              <w:marBottom w:val="0"/>
              <w:divBdr>
                <w:top w:val="none" w:sz="0" w:space="0" w:color="auto"/>
                <w:left w:val="none" w:sz="0" w:space="0" w:color="auto"/>
                <w:bottom w:val="none" w:sz="0" w:space="0" w:color="auto"/>
                <w:right w:val="none" w:sz="0" w:space="0" w:color="auto"/>
              </w:divBdr>
            </w:div>
            <w:div w:id="1171793209">
              <w:marLeft w:val="0"/>
              <w:marRight w:val="0"/>
              <w:marTop w:val="0"/>
              <w:marBottom w:val="0"/>
              <w:divBdr>
                <w:top w:val="none" w:sz="0" w:space="0" w:color="auto"/>
                <w:left w:val="none" w:sz="0" w:space="0" w:color="auto"/>
                <w:bottom w:val="none" w:sz="0" w:space="0" w:color="auto"/>
                <w:right w:val="none" w:sz="0" w:space="0" w:color="auto"/>
              </w:divBdr>
            </w:div>
            <w:div w:id="224802117">
              <w:marLeft w:val="0"/>
              <w:marRight w:val="0"/>
              <w:marTop w:val="0"/>
              <w:marBottom w:val="0"/>
              <w:divBdr>
                <w:top w:val="none" w:sz="0" w:space="0" w:color="auto"/>
                <w:left w:val="none" w:sz="0" w:space="0" w:color="auto"/>
                <w:bottom w:val="none" w:sz="0" w:space="0" w:color="auto"/>
                <w:right w:val="none" w:sz="0" w:space="0" w:color="auto"/>
              </w:divBdr>
            </w:div>
            <w:div w:id="944769018">
              <w:marLeft w:val="0"/>
              <w:marRight w:val="0"/>
              <w:marTop w:val="0"/>
              <w:marBottom w:val="0"/>
              <w:divBdr>
                <w:top w:val="none" w:sz="0" w:space="0" w:color="auto"/>
                <w:left w:val="none" w:sz="0" w:space="0" w:color="auto"/>
                <w:bottom w:val="none" w:sz="0" w:space="0" w:color="auto"/>
                <w:right w:val="none" w:sz="0" w:space="0" w:color="auto"/>
              </w:divBdr>
            </w:div>
            <w:div w:id="381713620">
              <w:marLeft w:val="0"/>
              <w:marRight w:val="0"/>
              <w:marTop w:val="0"/>
              <w:marBottom w:val="0"/>
              <w:divBdr>
                <w:top w:val="none" w:sz="0" w:space="0" w:color="auto"/>
                <w:left w:val="none" w:sz="0" w:space="0" w:color="auto"/>
                <w:bottom w:val="none" w:sz="0" w:space="0" w:color="auto"/>
                <w:right w:val="none" w:sz="0" w:space="0" w:color="auto"/>
              </w:divBdr>
            </w:div>
            <w:div w:id="1206747">
              <w:marLeft w:val="0"/>
              <w:marRight w:val="0"/>
              <w:marTop w:val="0"/>
              <w:marBottom w:val="0"/>
              <w:divBdr>
                <w:top w:val="none" w:sz="0" w:space="0" w:color="auto"/>
                <w:left w:val="none" w:sz="0" w:space="0" w:color="auto"/>
                <w:bottom w:val="none" w:sz="0" w:space="0" w:color="auto"/>
                <w:right w:val="none" w:sz="0" w:space="0" w:color="auto"/>
              </w:divBdr>
            </w:div>
            <w:div w:id="227308805">
              <w:marLeft w:val="0"/>
              <w:marRight w:val="0"/>
              <w:marTop w:val="0"/>
              <w:marBottom w:val="0"/>
              <w:divBdr>
                <w:top w:val="none" w:sz="0" w:space="0" w:color="auto"/>
                <w:left w:val="none" w:sz="0" w:space="0" w:color="auto"/>
                <w:bottom w:val="none" w:sz="0" w:space="0" w:color="auto"/>
                <w:right w:val="none" w:sz="0" w:space="0" w:color="auto"/>
              </w:divBdr>
            </w:div>
            <w:div w:id="1613125486">
              <w:marLeft w:val="0"/>
              <w:marRight w:val="0"/>
              <w:marTop w:val="0"/>
              <w:marBottom w:val="0"/>
              <w:divBdr>
                <w:top w:val="none" w:sz="0" w:space="0" w:color="auto"/>
                <w:left w:val="none" w:sz="0" w:space="0" w:color="auto"/>
                <w:bottom w:val="none" w:sz="0" w:space="0" w:color="auto"/>
                <w:right w:val="none" w:sz="0" w:space="0" w:color="auto"/>
              </w:divBdr>
            </w:div>
            <w:div w:id="924070539">
              <w:marLeft w:val="0"/>
              <w:marRight w:val="0"/>
              <w:marTop w:val="0"/>
              <w:marBottom w:val="0"/>
              <w:divBdr>
                <w:top w:val="none" w:sz="0" w:space="0" w:color="auto"/>
                <w:left w:val="none" w:sz="0" w:space="0" w:color="auto"/>
                <w:bottom w:val="none" w:sz="0" w:space="0" w:color="auto"/>
                <w:right w:val="none" w:sz="0" w:space="0" w:color="auto"/>
              </w:divBdr>
            </w:div>
            <w:div w:id="626162112">
              <w:marLeft w:val="0"/>
              <w:marRight w:val="0"/>
              <w:marTop w:val="0"/>
              <w:marBottom w:val="0"/>
              <w:divBdr>
                <w:top w:val="none" w:sz="0" w:space="0" w:color="auto"/>
                <w:left w:val="none" w:sz="0" w:space="0" w:color="auto"/>
                <w:bottom w:val="none" w:sz="0" w:space="0" w:color="auto"/>
                <w:right w:val="none" w:sz="0" w:space="0" w:color="auto"/>
              </w:divBdr>
            </w:div>
            <w:div w:id="158252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04476">
      <w:bodyDiv w:val="1"/>
      <w:marLeft w:val="0"/>
      <w:marRight w:val="0"/>
      <w:marTop w:val="0"/>
      <w:marBottom w:val="0"/>
      <w:divBdr>
        <w:top w:val="none" w:sz="0" w:space="0" w:color="auto"/>
        <w:left w:val="none" w:sz="0" w:space="0" w:color="auto"/>
        <w:bottom w:val="none" w:sz="0" w:space="0" w:color="auto"/>
        <w:right w:val="none" w:sz="0" w:space="0" w:color="auto"/>
      </w:divBdr>
      <w:divsChild>
        <w:div w:id="79107700">
          <w:marLeft w:val="0"/>
          <w:marRight w:val="0"/>
          <w:marTop w:val="0"/>
          <w:marBottom w:val="0"/>
          <w:divBdr>
            <w:top w:val="none" w:sz="0" w:space="0" w:color="auto"/>
            <w:left w:val="none" w:sz="0" w:space="0" w:color="auto"/>
            <w:bottom w:val="none" w:sz="0" w:space="0" w:color="auto"/>
            <w:right w:val="none" w:sz="0" w:space="0" w:color="auto"/>
          </w:divBdr>
          <w:divsChild>
            <w:div w:id="1147938058">
              <w:marLeft w:val="0"/>
              <w:marRight w:val="0"/>
              <w:marTop w:val="0"/>
              <w:marBottom w:val="0"/>
              <w:divBdr>
                <w:top w:val="none" w:sz="0" w:space="0" w:color="auto"/>
                <w:left w:val="none" w:sz="0" w:space="0" w:color="auto"/>
                <w:bottom w:val="none" w:sz="0" w:space="0" w:color="auto"/>
                <w:right w:val="none" w:sz="0" w:space="0" w:color="auto"/>
              </w:divBdr>
            </w:div>
          </w:divsChild>
        </w:div>
        <w:div w:id="1333025133">
          <w:marLeft w:val="0"/>
          <w:marRight w:val="0"/>
          <w:marTop w:val="0"/>
          <w:marBottom w:val="0"/>
          <w:divBdr>
            <w:top w:val="none" w:sz="0" w:space="0" w:color="auto"/>
            <w:left w:val="none" w:sz="0" w:space="0" w:color="auto"/>
            <w:bottom w:val="none" w:sz="0" w:space="0" w:color="auto"/>
            <w:right w:val="none" w:sz="0" w:space="0" w:color="auto"/>
          </w:divBdr>
          <w:divsChild>
            <w:div w:id="2091922973">
              <w:marLeft w:val="0"/>
              <w:marRight w:val="0"/>
              <w:marTop w:val="0"/>
              <w:marBottom w:val="0"/>
              <w:divBdr>
                <w:top w:val="none" w:sz="0" w:space="0" w:color="auto"/>
                <w:left w:val="none" w:sz="0" w:space="0" w:color="auto"/>
                <w:bottom w:val="none" w:sz="0" w:space="0" w:color="auto"/>
                <w:right w:val="none" w:sz="0" w:space="0" w:color="auto"/>
              </w:divBdr>
              <w:divsChild>
                <w:div w:id="60562143">
                  <w:marLeft w:val="0"/>
                  <w:marRight w:val="0"/>
                  <w:marTop w:val="30"/>
                  <w:marBottom w:val="30"/>
                  <w:divBdr>
                    <w:top w:val="none" w:sz="0" w:space="0" w:color="auto"/>
                    <w:left w:val="none" w:sz="0" w:space="0" w:color="auto"/>
                    <w:bottom w:val="none" w:sz="0" w:space="0" w:color="auto"/>
                    <w:right w:val="none" w:sz="0" w:space="0" w:color="auto"/>
                  </w:divBdr>
                  <w:divsChild>
                    <w:div w:id="1486898603">
                      <w:marLeft w:val="0"/>
                      <w:marRight w:val="0"/>
                      <w:marTop w:val="0"/>
                      <w:marBottom w:val="0"/>
                      <w:divBdr>
                        <w:top w:val="none" w:sz="0" w:space="0" w:color="auto"/>
                        <w:left w:val="none" w:sz="0" w:space="0" w:color="auto"/>
                        <w:bottom w:val="none" w:sz="0" w:space="0" w:color="auto"/>
                        <w:right w:val="none" w:sz="0" w:space="0" w:color="auto"/>
                      </w:divBdr>
                      <w:divsChild>
                        <w:div w:id="2116510028">
                          <w:marLeft w:val="0"/>
                          <w:marRight w:val="0"/>
                          <w:marTop w:val="0"/>
                          <w:marBottom w:val="0"/>
                          <w:divBdr>
                            <w:top w:val="none" w:sz="0" w:space="0" w:color="auto"/>
                            <w:left w:val="none" w:sz="0" w:space="0" w:color="auto"/>
                            <w:bottom w:val="none" w:sz="0" w:space="0" w:color="auto"/>
                            <w:right w:val="none" w:sz="0" w:space="0" w:color="auto"/>
                          </w:divBdr>
                        </w:div>
                      </w:divsChild>
                    </w:div>
                    <w:div w:id="1376932077">
                      <w:marLeft w:val="0"/>
                      <w:marRight w:val="0"/>
                      <w:marTop w:val="0"/>
                      <w:marBottom w:val="0"/>
                      <w:divBdr>
                        <w:top w:val="none" w:sz="0" w:space="0" w:color="auto"/>
                        <w:left w:val="none" w:sz="0" w:space="0" w:color="auto"/>
                        <w:bottom w:val="none" w:sz="0" w:space="0" w:color="auto"/>
                        <w:right w:val="none" w:sz="0" w:space="0" w:color="auto"/>
                      </w:divBdr>
                      <w:divsChild>
                        <w:div w:id="1159466160">
                          <w:marLeft w:val="0"/>
                          <w:marRight w:val="0"/>
                          <w:marTop w:val="0"/>
                          <w:marBottom w:val="0"/>
                          <w:divBdr>
                            <w:top w:val="none" w:sz="0" w:space="0" w:color="auto"/>
                            <w:left w:val="none" w:sz="0" w:space="0" w:color="auto"/>
                            <w:bottom w:val="none" w:sz="0" w:space="0" w:color="auto"/>
                            <w:right w:val="none" w:sz="0" w:space="0" w:color="auto"/>
                          </w:divBdr>
                        </w:div>
                      </w:divsChild>
                    </w:div>
                    <w:div w:id="1104617870">
                      <w:marLeft w:val="0"/>
                      <w:marRight w:val="0"/>
                      <w:marTop w:val="0"/>
                      <w:marBottom w:val="0"/>
                      <w:divBdr>
                        <w:top w:val="none" w:sz="0" w:space="0" w:color="auto"/>
                        <w:left w:val="none" w:sz="0" w:space="0" w:color="auto"/>
                        <w:bottom w:val="none" w:sz="0" w:space="0" w:color="auto"/>
                        <w:right w:val="none" w:sz="0" w:space="0" w:color="auto"/>
                      </w:divBdr>
                      <w:divsChild>
                        <w:div w:id="1152285096">
                          <w:marLeft w:val="0"/>
                          <w:marRight w:val="0"/>
                          <w:marTop w:val="0"/>
                          <w:marBottom w:val="0"/>
                          <w:divBdr>
                            <w:top w:val="none" w:sz="0" w:space="0" w:color="auto"/>
                            <w:left w:val="none" w:sz="0" w:space="0" w:color="auto"/>
                            <w:bottom w:val="none" w:sz="0" w:space="0" w:color="auto"/>
                            <w:right w:val="none" w:sz="0" w:space="0" w:color="auto"/>
                          </w:divBdr>
                        </w:div>
                      </w:divsChild>
                    </w:div>
                    <w:div w:id="844708394">
                      <w:marLeft w:val="0"/>
                      <w:marRight w:val="0"/>
                      <w:marTop w:val="0"/>
                      <w:marBottom w:val="0"/>
                      <w:divBdr>
                        <w:top w:val="none" w:sz="0" w:space="0" w:color="auto"/>
                        <w:left w:val="none" w:sz="0" w:space="0" w:color="auto"/>
                        <w:bottom w:val="none" w:sz="0" w:space="0" w:color="auto"/>
                        <w:right w:val="none" w:sz="0" w:space="0" w:color="auto"/>
                      </w:divBdr>
                      <w:divsChild>
                        <w:div w:id="1687093663">
                          <w:marLeft w:val="0"/>
                          <w:marRight w:val="0"/>
                          <w:marTop w:val="0"/>
                          <w:marBottom w:val="0"/>
                          <w:divBdr>
                            <w:top w:val="none" w:sz="0" w:space="0" w:color="auto"/>
                            <w:left w:val="none" w:sz="0" w:space="0" w:color="auto"/>
                            <w:bottom w:val="none" w:sz="0" w:space="0" w:color="auto"/>
                            <w:right w:val="none" w:sz="0" w:space="0" w:color="auto"/>
                          </w:divBdr>
                        </w:div>
                      </w:divsChild>
                    </w:div>
                    <w:div w:id="705760553">
                      <w:marLeft w:val="0"/>
                      <w:marRight w:val="0"/>
                      <w:marTop w:val="0"/>
                      <w:marBottom w:val="0"/>
                      <w:divBdr>
                        <w:top w:val="none" w:sz="0" w:space="0" w:color="auto"/>
                        <w:left w:val="none" w:sz="0" w:space="0" w:color="auto"/>
                        <w:bottom w:val="none" w:sz="0" w:space="0" w:color="auto"/>
                        <w:right w:val="none" w:sz="0" w:space="0" w:color="auto"/>
                      </w:divBdr>
                      <w:divsChild>
                        <w:div w:id="1932465465">
                          <w:marLeft w:val="0"/>
                          <w:marRight w:val="0"/>
                          <w:marTop w:val="0"/>
                          <w:marBottom w:val="0"/>
                          <w:divBdr>
                            <w:top w:val="none" w:sz="0" w:space="0" w:color="auto"/>
                            <w:left w:val="none" w:sz="0" w:space="0" w:color="auto"/>
                            <w:bottom w:val="none" w:sz="0" w:space="0" w:color="auto"/>
                            <w:right w:val="none" w:sz="0" w:space="0" w:color="auto"/>
                          </w:divBdr>
                        </w:div>
                      </w:divsChild>
                    </w:div>
                    <w:div w:id="1150635790">
                      <w:marLeft w:val="0"/>
                      <w:marRight w:val="0"/>
                      <w:marTop w:val="0"/>
                      <w:marBottom w:val="0"/>
                      <w:divBdr>
                        <w:top w:val="none" w:sz="0" w:space="0" w:color="auto"/>
                        <w:left w:val="none" w:sz="0" w:space="0" w:color="auto"/>
                        <w:bottom w:val="none" w:sz="0" w:space="0" w:color="auto"/>
                        <w:right w:val="none" w:sz="0" w:space="0" w:color="auto"/>
                      </w:divBdr>
                      <w:divsChild>
                        <w:div w:id="1985159132">
                          <w:marLeft w:val="0"/>
                          <w:marRight w:val="0"/>
                          <w:marTop w:val="0"/>
                          <w:marBottom w:val="0"/>
                          <w:divBdr>
                            <w:top w:val="none" w:sz="0" w:space="0" w:color="auto"/>
                            <w:left w:val="none" w:sz="0" w:space="0" w:color="auto"/>
                            <w:bottom w:val="none" w:sz="0" w:space="0" w:color="auto"/>
                            <w:right w:val="none" w:sz="0" w:space="0" w:color="auto"/>
                          </w:divBdr>
                        </w:div>
                      </w:divsChild>
                    </w:div>
                    <w:div w:id="1888105524">
                      <w:marLeft w:val="0"/>
                      <w:marRight w:val="0"/>
                      <w:marTop w:val="0"/>
                      <w:marBottom w:val="0"/>
                      <w:divBdr>
                        <w:top w:val="none" w:sz="0" w:space="0" w:color="auto"/>
                        <w:left w:val="none" w:sz="0" w:space="0" w:color="auto"/>
                        <w:bottom w:val="none" w:sz="0" w:space="0" w:color="auto"/>
                        <w:right w:val="none" w:sz="0" w:space="0" w:color="auto"/>
                      </w:divBdr>
                      <w:divsChild>
                        <w:div w:id="1582329413">
                          <w:marLeft w:val="0"/>
                          <w:marRight w:val="0"/>
                          <w:marTop w:val="0"/>
                          <w:marBottom w:val="0"/>
                          <w:divBdr>
                            <w:top w:val="none" w:sz="0" w:space="0" w:color="auto"/>
                            <w:left w:val="none" w:sz="0" w:space="0" w:color="auto"/>
                            <w:bottom w:val="none" w:sz="0" w:space="0" w:color="auto"/>
                            <w:right w:val="none" w:sz="0" w:space="0" w:color="auto"/>
                          </w:divBdr>
                        </w:div>
                      </w:divsChild>
                    </w:div>
                    <w:div w:id="772281309">
                      <w:marLeft w:val="0"/>
                      <w:marRight w:val="0"/>
                      <w:marTop w:val="0"/>
                      <w:marBottom w:val="0"/>
                      <w:divBdr>
                        <w:top w:val="none" w:sz="0" w:space="0" w:color="auto"/>
                        <w:left w:val="none" w:sz="0" w:space="0" w:color="auto"/>
                        <w:bottom w:val="none" w:sz="0" w:space="0" w:color="auto"/>
                        <w:right w:val="none" w:sz="0" w:space="0" w:color="auto"/>
                      </w:divBdr>
                      <w:divsChild>
                        <w:div w:id="1376853672">
                          <w:marLeft w:val="0"/>
                          <w:marRight w:val="0"/>
                          <w:marTop w:val="0"/>
                          <w:marBottom w:val="0"/>
                          <w:divBdr>
                            <w:top w:val="none" w:sz="0" w:space="0" w:color="auto"/>
                            <w:left w:val="none" w:sz="0" w:space="0" w:color="auto"/>
                            <w:bottom w:val="none" w:sz="0" w:space="0" w:color="auto"/>
                            <w:right w:val="none" w:sz="0" w:space="0" w:color="auto"/>
                          </w:divBdr>
                        </w:div>
                      </w:divsChild>
                    </w:div>
                    <w:div w:id="1299996872">
                      <w:marLeft w:val="0"/>
                      <w:marRight w:val="0"/>
                      <w:marTop w:val="0"/>
                      <w:marBottom w:val="0"/>
                      <w:divBdr>
                        <w:top w:val="none" w:sz="0" w:space="0" w:color="auto"/>
                        <w:left w:val="none" w:sz="0" w:space="0" w:color="auto"/>
                        <w:bottom w:val="none" w:sz="0" w:space="0" w:color="auto"/>
                        <w:right w:val="none" w:sz="0" w:space="0" w:color="auto"/>
                      </w:divBdr>
                      <w:divsChild>
                        <w:div w:id="27552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2869">
              <w:marLeft w:val="0"/>
              <w:marRight w:val="0"/>
              <w:marTop w:val="0"/>
              <w:marBottom w:val="0"/>
              <w:divBdr>
                <w:top w:val="none" w:sz="0" w:space="0" w:color="auto"/>
                <w:left w:val="none" w:sz="0" w:space="0" w:color="auto"/>
                <w:bottom w:val="none" w:sz="0" w:space="0" w:color="auto"/>
                <w:right w:val="none" w:sz="0" w:space="0" w:color="auto"/>
              </w:divBdr>
            </w:div>
          </w:divsChild>
        </w:div>
        <w:div w:id="1062026469">
          <w:marLeft w:val="0"/>
          <w:marRight w:val="0"/>
          <w:marTop w:val="0"/>
          <w:marBottom w:val="0"/>
          <w:divBdr>
            <w:top w:val="none" w:sz="0" w:space="0" w:color="auto"/>
            <w:left w:val="none" w:sz="0" w:space="0" w:color="auto"/>
            <w:bottom w:val="none" w:sz="0" w:space="0" w:color="auto"/>
            <w:right w:val="none" w:sz="0" w:space="0" w:color="auto"/>
          </w:divBdr>
          <w:divsChild>
            <w:div w:id="1452241402">
              <w:marLeft w:val="0"/>
              <w:marRight w:val="0"/>
              <w:marTop w:val="0"/>
              <w:marBottom w:val="0"/>
              <w:divBdr>
                <w:top w:val="none" w:sz="0" w:space="0" w:color="auto"/>
                <w:left w:val="none" w:sz="0" w:space="0" w:color="auto"/>
                <w:bottom w:val="none" w:sz="0" w:space="0" w:color="auto"/>
                <w:right w:val="none" w:sz="0" w:space="0" w:color="auto"/>
              </w:divBdr>
            </w:div>
          </w:divsChild>
        </w:div>
        <w:div w:id="1153790009">
          <w:marLeft w:val="0"/>
          <w:marRight w:val="0"/>
          <w:marTop w:val="0"/>
          <w:marBottom w:val="0"/>
          <w:divBdr>
            <w:top w:val="none" w:sz="0" w:space="0" w:color="auto"/>
            <w:left w:val="none" w:sz="0" w:space="0" w:color="auto"/>
            <w:bottom w:val="none" w:sz="0" w:space="0" w:color="auto"/>
            <w:right w:val="none" w:sz="0" w:space="0" w:color="auto"/>
          </w:divBdr>
          <w:divsChild>
            <w:div w:id="796413078">
              <w:marLeft w:val="0"/>
              <w:marRight w:val="0"/>
              <w:marTop w:val="0"/>
              <w:marBottom w:val="0"/>
              <w:divBdr>
                <w:top w:val="none" w:sz="0" w:space="0" w:color="auto"/>
                <w:left w:val="none" w:sz="0" w:space="0" w:color="auto"/>
                <w:bottom w:val="none" w:sz="0" w:space="0" w:color="auto"/>
                <w:right w:val="none" w:sz="0" w:space="0" w:color="auto"/>
              </w:divBdr>
            </w:div>
          </w:divsChild>
        </w:div>
        <w:div w:id="1913738719">
          <w:marLeft w:val="0"/>
          <w:marRight w:val="0"/>
          <w:marTop w:val="0"/>
          <w:marBottom w:val="0"/>
          <w:divBdr>
            <w:top w:val="none" w:sz="0" w:space="0" w:color="auto"/>
            <w:left w:val="none" w:sz="0" w:space="0" w:color="auto"/>
            <w:bottom w:val="none" w:sz="0" w:space="0" w:color="auto"/>
            <w:right w:val="none" w:sz="0" w:space="0" w:color="auto"/>
          </w:divBdr>
          <w:divsChild>
            <w:div w:id="831682799">
              <w:marLeft w:val="0"/>
              <w:marRight w:val="0"/>
              <w:marTop w:val="0"/>
              <w:marBottom w:val="0"/>
              <w:divBdr>
                <w:top w:val="none" w:sz="0" w:space="0" w:color="auto"/>
                <w:left w:val="none" w:sz="0" w:space="0" w:color="auto"/>
                <w:bottom w:val="none" w:sz="0" w:space="0" w:color="auto"/>
                <w:right w:val="none" w:sz="0" w:space="0" w:color="auto"/>
              </w:divBdr>
              <w:divsChild>
                <w:div w:id="2146316693">
                  <w:marLeft w:val="0"/>
                  <w:marRight w:val="0"/>
                  <w:marTop w:val="30"/>
                  <w:marBottom w:val="30"/>
                  <w:divBdr>
                    <w:top w:val="none" w:sz="0" w:space="0" w:color="auto"/>
                    <w:left w:val="none" w:sz="0" w:space="0" w:color="auto"/>
                    <w:bottom w:val="none" w:sz="0" w:space="0" w:color="auto"/>
                    <w:right w:val="none" w:sz="0" w:space="0" w:color="auto"/>
                  </w:divBdr>
                  <w:divsChild>
                    <w:div w:id="1173031626">
                      <w:marLeft w:val="0"/>
                      <w:marRight w:val="0"/>
                      <w:marTop w:val="0"/>
                      <w:marBottom w:val="0"/>
                      <w:divBdr>
                        <w:top w:val="none" w:sz="0" w:space="0" w:color="auto"/>
                        <w:left w:val="none" w:sz="0" w:space="0" w:color="auto"/>
                        <w:bottom w:val="none" w:sz="0" w:space="0" w:color="auto"/>
                        <w:right w:val="none" w:sz="0" w:space="0" w:color="auto"/>
                      </w:divBdr>
                      <w:divsChild>
                        <w:div w:id="1854999181">
                          <w:marLeft w:val="0"/>
                          <w:marRight w:val="0"/>
                          <w:marTop w:val="0"/>
                          <w:marBottom w:val="0"/>
                          <w:divBdr>
                            <w:top w:val="none" w:sz="0" w:space="0" w:color="auto"/>
                            <w:left w:val="none" w:sz="0" w:space="0" w:color="auto"/>
                            <w:bottom w:val="none" w:sz="0" w:space="0" w:color="auto"/>
                            <w:right w:val="none" w:sz="0" w:space="0" w:color="auto"/>
                          </w:divBdr>
                        </w:div>
                      </w:divsChild>
                    </w:div>
                    <w:div w:id="80413429">
                      <w:marLeft w:val="0"/>
                      <w:marRight w:val="0"/>
                      <w:marTop w:val="0"/>
                      <w:marBottom w:val="0"/>
                      <w:divBdr>
                        <w:top w:val="none" w:sz="0" w:space="0" w:color="auto"/>
                        <w:left w:val="none" w:sz="0" w:space="0" w:color="auto"/>
                        <w:bottom w:val="none" w:sz="0" w:space="0" w:color="auto"/>
                        <w:right w:val="none" w:sz="0" w:space="0" w:color="auto"/>
                      </w:divBdr>
                      <w:divsChild>
                        <w:div w:id="1816607304">
                          <w:marLeft w:val="0"/>
                          <w:marRight w:val="0"/>
                          <w:marTop w:val="0"/>
                          <w:marBottom w:val="0"/>
                          <w:divBdr>
                            <w:top w:val="none" w:sz="0" w:space="0" w:color="auto"/>
                            <w:left w:val="none" w:sz="0" w:space="0" w:color="auto"/>
                            <w:bottom w:val="none" w:sz="0" w:space="0" w:color="auto"/>
                            <w:right w:val="none" w:sz="0" w:space="0" w:color="auto"/>
                          </w:divBdr>
                        </w:div>
                      </w:divsChild>
                    </w:div>
                    <w:div w:id="1922593871">
                      <w:marLeft w:val="0"/>
                      <w:marRight w:val="0"/>
                      <w:marTop w:val="0"/>
                      <w:marBottom w:val="0"/>
                      <w:divBdr>
                        <w:top w:val="none" w:sz="0" w:space="0" w:color="auto"/>
                        <w:left w:val="none" w:sz="0" w:space="0" w:color="auto"/>
                        <w:bottom w:val="none" w:sz="0" w:space="0" w:color="auto"/>
                        <w:right w:val="none" w:sz="0" w:space="0" w:color="auto"/>
                      </w:divBdr>
                      <w:divsChild>
                        <w:div w:id="31078907">
                          <w:marLeft w:val="0"/>
                          <w:marRight w:val="0"/>
                          <w:marTop w:val="0"/>
                          <w:marBottom w:val="0"/>
                          <w:divBdr>
                            <w:top w:val="none" w:sz="0" w:space="0" w:color="auto"/>
                            <w:left w:val="none" w:sz="0" w:space="0" w:color="auto"/>
                            <w:bottom w:val="none" w:sz="0" w:space="0" w:color="auto"/>
                            <w:right w:val="none" w:sz="0" w:space="0" w:color="auto"/>
                          </w:divBdr>
                        </w:div>
                      </w:divsChild>
                    </w:div>
                    <w:div w:id="1012876323">
                      <w:marLeft w:val="0"/>
                      <w:marRight w:val="0"/>
                      <w:marTop w:val="0"/>
                      <w:marBottom w:val="0"/>
                      <w:divBdr>
                        <w:top w:val="none" w:sz="0" w:space="0" w:color="auto"/>
                        <w:left w:val="none" w:sz="0" w:space="0" w:color="auto"/>
                        <w:bottom w:val="none" w:sz="0" w:space="0" w:color="auto"/>
                        <w:right w:val="none" w:sz="0" w:space="0" w:color="auto"/>
                      </w:divBdr>
                      <w:divsChild>
                        <w:div w:id="487937635">
                          <w:marLeft w:val="0"/>
                          <w:marRight w:val="0"/>
                          <w:marTop w:val="0"/>
                          <w:marBottom w:val="0"/>
                          <w:divBdr>
                            <w:top w:val="none" w:sz="0" w:space="0" w:color="auto"/>
                            <w:left w:val="none" w:sz="0" w:space="0" w:color="auto"/>
                            <w:bottom w:val="none" w:sz="0" w:space="0" w:color="auto"/>
                            <w:right w:val="none" w:sz="0" w:space="0" w:color="auto"/>
                          </w:divBdr>
                        </w:div>
                      </w:divsChild>
                    </w:div>
                    <w:div w:id="1512722815">
                      <w:marLeft w:val="0"/>
                      <w:marRight w:val="0"/>
                      <w:marTop w:val="0"/>
                      <w:marBottom w:val="0"/>
                      <w:divBdr>
                        <w:top w:val="none" w:sz="0" w:space="0" w:color="auto"/>
                        <w:left w:val="none" w:sz="0" w:space="0" w:color="auto"/>
                        <w:bottom w:val="none" w:sz="0" w:space="0" w:color="auto"/>
                        <w:right w:val="none" w:sz="0" w:space="0" w:color="auto"/>
                      </w:divBdr>
                      <w:divsChild>
                        <w:div w:id="291639203">
                          <w:marLeft w:val="0"/>
                          <w:marRight w:val="0"/>
                          <w:marTop w:val="0"/>
                          <w:marBottom w:val="0"/>
                          <w:divBdr>
                            <w:top w:val="none" w:sz="0" w:space="0" w:color="auto"/>
                            <w:left w:val="none" w:sz="0" w:space="0" w:color="auto"/>
                            <w:bottom w:val="none" w:sz="0" w:space="0" w:color="auto"/>
                            <w:right w:val="none" w:sz="0" w:space="0" w:color="auto"/>
                          </w:divBdr>
                        </w:div>
                      </w:divsChild>
                    </w:div>
                    <w:div w:id="621502431">
                      <w:marLeft w:val="0"/>
                      <w:marRight w:val="0"/>
                      <w:marTop w:val="0"/>
                      <w:marBottom w:val="0"/>
                      <w:divBdr>
                        <w:top w:val="none" w:sz="0" w:space="0" w:color="auto"/>
                        <w:left w:val="none" w:sz="0" w:space="0" w:color="auto"/>
                        <w:bottom w:val="none" w:sz="0" w:space="0" w:color="auto"/>
                        <w:right w:val="none" w:sz="0" w:space="0" w:color="auto"/>
                      </w:divBdr>
                      <w:divsChild>
                        <w:div w:id="110244528">
                          <w:marLeft w:val="0"/>
                          <w:marRight w:val="0"/>
                          <w:marTop w:val="0"/>
                          <w:marBottom w:val="0"/>
                          <w:divBdr>
                            <w:top w:val="none" w:sz="0" w:space="0" w:color="auto"/>
                            <w:left w:val="none" w:sz="0" w:space="0" w:color="auto"/>
                            <w:bottom w:val="none" w:sz="0" w:space="0" w:color="auto"/>
                            <w:right w:val="none" w:sz="0" w:space="0" w:color="auto"/>
                          </w:divBdr>
                        </w:div>
                      </w:divsChild>
                    </w:div>
                    <w:div w:id="795686749">
                      <w:marLeft w:val="0"/>
                      <w:marRight w:val="0"/>
                      <w:marTop w:val="0"/>
                      <w:marBottom w:val="0"/>
                      <w:divBdr>
                        <w:top w:val="none" w:sz="0" w:space="0" w:color="auto"/>
                        <w:left w:val="none" w:sz="0" w:space="0" w:color="auto"/>
                        <w:bottom w:val="none" w:sz="0" w:space="0" w:color="auto"/>
                        <w:right w:val="none" w:sz="0" w:space="0" w:color="auto"/>
                      </w:divBdr>
                      <w:divsChild>
                        <w:div w:id="481696190">
                          <w:marLeft w:val="0"/>
                          <w:marRight w:val="0"/>
                          <w:marTop w:val="0"/>
                          <w:marBottom w:val="0"/>
                          <w:divBdr>
                            <w:top w:val="none" w:sz="0" w:space="0" w:color="auto"/>
                            <w:left w:val="none" w:sz="0" w:space="0" w:color="auto"/>
                            <w:bottom w:val="none" w:sz="0" w:space="0" w:color="auto"/>
                            <w:right w:val="none" w:sz="0" w:space="0" w:color="auto"/>
                          </w:divBdr>
                        </w:div>
                      </w:divsChild>
                    </w:div>
                    <w:div w:id="1156645434">
                      <w:marLeft w:val="0"/>
                      <w:marRight w:val="0"/>
                      <w:marTop w:val="0"/>
                      <w:marBottom w:val="0"/>
                      <w:divBdr>
                        <w:top w:val="none" w:sz="0" w:space="0" w:color="auto"/>
                        <w:left w:val="none" w:sz="0" w:space="0" w:color="auto"/>
                        <w:bottom w:val="none" w:sz="0" w:space="0" w:color="auto"/>
                        <w:right w:val="none" w:sz="0" w:space="0" w:color="auto"/>
                      </w:divBdr>
                      <w:divsChild>
                        <w:div w:id="1886722915">
                          <w:marLeft w:val="0"/>
                          <w:marRight w:val="0"/>
                          <w:marTop w:val="0"/>
                          <w:marBottom w:val="0"/>
                          <w:divBdr>
                            <w:top w:val="none" w:sz="0" w:space="0" w:color="auto"/>
                            <w:left w:val="none" w:sz="0" w:space="0" w:color="auto"/>
                            <w:bottom w:val="none" w:sz="0" w:space="0" w:color="auto"/>
                            <w:right w:val="none" w:sz="0" w:space="0" w:color="auto"/>
                          </w:divBdr>
                        </w:div>
                      </w:divsChild>
                    </w:div>
                    <w:div w:id="181867525">
                      <w:marLeft w:val="0"/>
                      <w:marRight w:val="0"/>
                      <w:marTop w:val="0"/>
                      <w:marBottom w:val="0"/>
                      <w:divBdr>
                        <w:top w:val="none" w:sz="0" w:space="0" w:color="auto"/>
                        <w:left w:val="none" w:sz="0" w:space="0" w:color="auto"/>
                        <w:bottom w:val="none" w:sz="0" w:space="0" w:color="auto"/>
                        <w:right w:val="none" w:sz="0" w:space="0" w:color="auto"/>
                      </w:divBdr>
                      <w:divsChild>
                        <w:div w:id="170945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30280">
              <w:marLeft w:val="0"/>
              <w:marRight w:val="0"/>
              <w:marTop w:val="0"/>
              <w:marBottom w:val="0"/>
              <w:divBdr>
                <w:top w:val="none" w:sz="0" w:space="0" w:color="auto"/>
                <w:left w:val="none" w:sz="0" w:space="0" w:color="auto"/>
                <w:bottom w:val="none" w:sz="0" w:space="0" w:color="auto"/>
                <w:right w:val="none" w:sz="0" w:space="0" w:color="auto"/>
              </w:divBdr>
            </w:div>
          </w:divsChild>
        </w:div>
        <w:div w:id="1540698492">
          <w:marLeft w:val="0"/>
          <w:marRight w:val="0"/>
          <w:marTop w:val="0"/>
          <w:marBottom w:val="0"/>
          <w:divBdr>
            <w:top w:val="none" w:sz="0" w:space="0" w:color="auto"/>
            <w:left w:val="none" w:sz="0" w:space="0" w:color="auto"/>
            <w:bottom w:val="none" w:sz="0" w:space="0" w:color="auto"/>
            <w:right w:val="none" w:sz="0" w:space="0" w:color="auto"/>
          </w:divBdr>
          <w:divsChild>
            <w:div w:id="2017031278">
              <w:marLeft w:val="0"/>
              <w:marRight w:val="0"/>
              <w:marTop w:val="0"/>
              <w:marBottom w:val="0"/>
              <w:divBdr>
                <w:top w:val="none" w:sz="0" w:space="0" w:color="auto"/>
                <w:left w:val="none" w:sz="0" w:space="0" w:color="auto"/>
                <w:bottom w:val="none" w:sz="0" w:space="0" w:color="auto"/>
                <w:right w:val="none" w:sz="0" w:space="0" w:color="auto"/>
              </w:divBdr>
            </w:div>
          </w:divsChild>
        </w:div>
        <w:div w:id="770664889">
          <w:marLeft w:val="0"/>
          <w:marRight w:val="0"/>
          <w:marTop w:val="0"/>
          <w:marBottom w:val="0"/>
          <w:divBdr>
            <w:top w:val="none" w:sz="0" w:space="0" w:color="auto"/>
            <w:left w:val="none" w:sz="0" w:space="0" w:color="auto"/>
            <w:bottom w:val="none" w:sz="0" w:space="0" w:color="auto"/>
            <w:right w:val="none" w:sz="0" w:space="0" w:color="auto"/>
          </w:divBdr>
          <w:divsChild>
            <w:div w:id="2123377902">
              <w:marLeft w:val="0"/>
              <w:marRight w:val="0"/>
              <w:marTop w:val="0"/>
              <w:marBottom w:val="0"/>
              <w:divBdr>
                <w:top w:val="none" w:sz="0" w:space="0" w:color="auto"/>
                <w:left w:val="none" w:sz="0" w:space="0" w:color="auto"/>
                <w:bottom w:val="none" w:sz="0" w:space="0" w:color="auto"/>
                <w:right w:val="none" w:sz="0" w:space="0" w:color="auto"/>
              </w:divBdr>
            </w:div>
          </w:divsChild>
        </w:div>
        <w:div w:id="303119943">
          <w:marLeft w:val="0"/>
          <w:marRight w:val="0"/>
          <w:marTop w:val="0"/>
          <w:marBottom w:val="0"/>
          <w:divBdr>
            <w:top w:val="none" w:sz="0" w:space="0" w:color="auto"/>
            <w:left w:val="none" w:sz="0" w:space="0" w:color="auto"/>
            <w:bottom w:val="none" w:sz="0" w:space="0" w:color="auto"/>
            <w:right w:val="none" w:sz="0" w:space="0" w:color="auto"/>
          </w:divBdr>
          <w:divsChild>
            <w:div w:id="1694530739">
              <w:marLeft w:val="0"/>
              <w:marRight w:val="0"/>
              <w:marTop w:val="0"/>
              <w:marBottom w:val="0"/>
              <w:divBdr>
                <w:top w:val="none" w:sz="0" w:space="0" w:color="auto"/>
                <w:left w:val="none" w:sz="0" w:space="0" w:color="auto"/>
                <w:bottom w:val="none" w:sz="0" w:space="0" w:color="auto"/>
                <w:right w:val="none" w:sz="0" w:space="0" w:color="auto"/>
              </w:divBdr>
              <w:divsChild>
                <w:div w:id="1965308441">
                  <w:marLeft w:val="0"/>
                  <w:marRight w:val="0"/>
                  <w:marTop w:val="30"/>
                  <w:marBottom w:val="30"/>
                  <w:divBdr>
                    <w:top w:val="none" w:sz="0" w:space="0" w:color="auto"/>
                    <w:left w:val="none" w:sz="0" w:space="0" w:color="auto"/>
                    <w:bottom w:val="none" w:sz="0" w:space="0" w:color="auto"/>
                    <w:right w:val="none" w:sz="0" w:space="0" w:color="auto"/>
                  </w:divBdr>
                  <w:divsChild>
                    <w:div w:id="2068453054">
                      <w:marLeft w:val="0"/>
                      <w:marRight w:val="0"/>
                      <w:marTop w:val="0"/>
                      <w:marBottom w:val="0"/>
                      <w:divBdr>
                        <w:top w:val="none" w:sz="0" w:space="0" w:color="auto"/>
                        <w:left w:val="none" w:sz="0" w:space="0" w:color="auto"/>
                        <w:bottom w:val="none" w:sz="0" w:space="0" w:color="auto"/>
                        <w:right w:val="none" w:sz="0" w:space="0" w:color="auto"/>
                      </w:divBdr>
                      <w:divsChild>
                        <w:div w:id="1965844510">
                          <w:marLeft w:val="0"/>
                          <w:marRight w:val="0"/>
                          <w:marTop w:val="0"/>
                          <w:marBottom w:val="0"/>
                          <w:divBdr>
                            <w:top w:val="none" w:sz="0" w:space="0" w:color="auto"/>
                            <w:left w:val="none" w:sz="0" w:space="0" w:color="auto"/>
                            <w:bottom w:val="none" w:sz="0" w:space="0" w:color="auto"/>
                            <w:right w:val="none" w:sz="0" w:space="0" w:color="auto"/>
                          </w:divBdr>
                        </w:div>
                      </w:divsChild>
                    </w:div>
                    <w:div w:id="155846074">
                      <w:marLeft w:val="0"/>
                      <w:marRight w:val="0"/>
                      <w:marTop w:val="0"/>
                      <w:marBottom w:val="0"/>
                      <w:divBdr>
                        <w:top w:val="none" w:sz="0" w:space="0" w:color="auto"/>
                        <w:left w:val="none" w:sz="0" w:space="0" w:color="auto"/>
                        <w:bottom w:val="none" w:sz="0" w:space="0" w:color="auto"/>
                        <w:right w:val="none" w:sz="0" w:space="0" w:color="auto"/>
                      </w:divBdr>
                      <w:divsChild>
                        <w:div w:id="406421343">
                          <w:marLeft w:val="0"/>
                          <w:marRight w:val="0"/>
                          <w:marTop w:val="0"/>
                          <w:marBottom w:val="0"/>
                          <w:divBdr>
                            <w:top w:val="none" w:sz="0" w:space="0" w:color="auto"/>
                            <w:left w:val="none" w:sz="0" w:space="0" w:color="auto"/>
                            <w:bottom w:val="none" w:sz="0" w:space="0" w:color="auto"/>
                            <w:right w:val="none" w:sz="0" w:space="0" w:color="auto"/>
                          </w:divBdr>
                        </w:div>
                      </w:divsChild>
                    </w:div>
                    <w:div w:id="1869248845">
                      <w:marLeft w:val="0"/>
                      <w:marRight w:val="0"/>
                      <w:marTop w:val="0"/>
                      <w:marBottom w:val="0"/>
                      <w:divBdr>
                        <w:top w:val="none" w:sz="0" w:space="0" w:color="auto"/>
                        <w:left w:val="none" w:sz="0" w:space="0" w:color="auto"/>
                        <w:bottom w:val="none" w:sz="0" w:space="0" w:color="auto"/>
                        <w:right w:val="none" w:sz="0" w:space="0" w:color="auto"/>
                      </w:divBdr>
                      <w:divsChild>
                        <w:div w:id="1072582804">
                          <w:marLeft w:val="0"/>
                          <w:marRight w:val="0"/>
                          <w:marTop w:val="0"/>
                          <w:marBottom w:val="0"/>
                          <w:divBdr>
                            <w:top w:val="none" w:sz="0" w:space="0" w:color="auto"/>
                            <w:left w:val="none" w:sz="0" w:space="0" w:color="auto"/>
                            <w:bottom w:val="none" w:sz="0" w:space="0" w:color="auto"/>
                            <w:right w:val="none" w:sz="0" w:space="0" w:color="auto"/>
                          </w:divBdr>
                        </w:div>
                      </w:divsChild>
                    </w:div>
                    <w:div w:id="869951752">
                      <w:marLeft w:val="0"/>
                      <w:marRight w:val="0"/>
                      <w:marTop w:val="0"/>
                      <w:marBottom w:val="0"/>
                      <w:divBdr>
                        <w:top w:val="none" w:sz="0" w:space="0" w:color="auto"/>
                        <w:left w:val="none" w:sz="0" w:space="0" w:color="auto"/>
                        <w:bottom w:val="none" w:sz="0" w:space="0" w:color="auto"/>
                        <w:right w:val="none" w:sz="0" w:space="0" w:color="auto"/>
                      </w:divBdr>
                      <w:divsChild>
                        <w:div w:id="772408258">
                          <w:marLeft w:val="0"/>
                          <w:marRight w:val="0"/>
                          <w:marTop w:val="0"/>
                          <w:marBottom w:val="0"/>
                          <w:divBdr>
                            <w:top w:val="none" w:sz="0" w:space="0" w:color="auto"/>
                            <w:left w:val="none" w:sz="0" w:space="0" w:color="auto"/>
                            <w:bottom w:val="none" w:sz="0" w:space="0" w:color="auto"/>
                            <w:right w:val="none" w:sz="0" w:space="0" w:color="auto"/>
                          </w:divBdr>
                        </w:div>
                      </w:divsChild>
                    </w:div>
                    <w:div w:id="982932948">
                      <w:marLeft w:val="0"/>
                      <w:marRight w:val="0"/>
                      <w:marTop w:val="0"/>
                      <w:marBottom w:val="0"/>
                      <w:divBdr>
                        <w:top w:val="none" w:sz="0" w:space="0" w:color="auto"/>
                        <w:left w:val="none" w:sz="0" w:space="0" w:color="auto"/>
                        <w:bottom w:val="none" w:sz="0" w:space="0" w:color="auto"/>
                        <w:right w:val="none" w:sz="0" w:space="0" w:color="auto"/>
                      </w:divBdr>
                      <w:divsChild>
                        <w:div w:id="1936204177">
                          <w:marLeft w:val="0"/>
                          <w:marRight w:val="0"/>
                          <w:marTop w:val="0"/>
                          <w:marBottom w:val="0"/>
                          <w:divBdr>
                            <w:top w:val="none" w:sz="0" w:space="0" w:color="auto"/>
                            <w:left w:val="none" w:sz="0" w:space="0" w:color="auto"/>
                            <w:bottom w:val="none" w:sz="0" w:space="0" w:color="auto"/>
                            <w:right w:val="none" w:sz="0" w:space="0" w:color="auto"/>
                          </w:divBdr>
                        </w:div>
                      </w:divsChild>
                    </w:div>
                    <w:div w:id="296033448">
                      <w:marLeft w:val="0"/>
                      <w:marRight w:val="0"/>
                      <w:marTop w:val="0"/>
                      <w:marBottom w:val="0"/>
                      <w:divBdr>
                        <w:top w:val="none" w:sz="0" w:space="0" w:color="auto"/>
                        <w:left w:val="none" w:sz="0" w:space="0" w:color="auto"/>
                        <w:bottom w:val="none" w:sz="0" w:space="0" w:color="auto"/>
                        <w:right w:val="none" w:sz="0" w:space="0" w:color="auto"/>
                      </w:divBdr>
                      <w:divsChild>
                        <w:div w:id="1056779101">
                          <w:marLeft w:val="0"/>
                          <w:marRight w:val="0"/>
                          <w:marTop w:val="0"/>
                          <w:marBottom w:val="0"/>
                          <w:divBdr>
                            <w:top w:val="none" w:sz="0" w:space="0" w:color="auto"/>
                            <w:left w:val="none" w:sz="0" w:space="0" w:color="auto"/>
                            <w:bottom w:val="none" w:sz="0" w:space="0" w:color="auto"/>
                            <w:right w:val="none" w:sz="0" w:space="0" w:color="auto"/>
                          </w:divBdr>
                        </w:div>
                      </w:divsChild>
                    </w:div>
                    <w:div w:id="1073040528">
                      <w:marLeft w:val="0"/>
                      <w:marRight w:val="0"/>
                      <w:marTop w:val="0"/>
                      <w:marBottom w:val="0"/>
                      <w:divBdr>
                        <w:top w:val="none" w:sz="0" w:space="0" w:color="auto"/>
                        <w:left w:val="none" w:sz="0" w:space="0" w:color="auto"/>
                        <w:bottom w:val="none" w:sz="0" w:space="0" w:color="auto"/>
                        <w:right w:val="none" w:sz="0" w:space="0" w:color="auto"/>
                      </w:divBdr>
                      <w:divsChild>
                        <w:div w:id="1788040506">
                          <w:marLeft w:val="0"/>
                          <w:marRight w:val="0"/>
                          <w:marTop w:val="0"/>
                          <w:marBottom w:val="0"/>
                          <w:divBdr>
                            <w:top w:val="none" w:sz="0" w:space="0" w:color="auto"/>
                            <w:left w:val="none" w:sz="0" w:space="0" w:color="auto"/>
                            <w:bottom w:val="none" w:sz="0" w:space="0" w:color="auto"/>
                            <w:right w:val="none" w:sz="0" w:space="0" w:color="auto"/>
                          </w:divBdr>
                        </w:div>
                      </w:divsChild>
                    </w:div>
                    <w:div w:id="371419655">
                      <w:marLeft w:val="0"/>
                      <w:marRight w:val="0"/>
                      <w:marTop w:val="0"/>
                      <w:marBottom w:val="0"/>
                      <w:divBdr>
                        <w:top w:val="none" w:sz="0" w:space="0" w:color="auto"/>
                        <w:left w:val="none" w:sz="0" w:space="0" w:color="auto"/>
                        <w:bottom w:val="none" w:sz="0" w:space="0" w:color="auto"/>
                        <w:right w:val="none" w:sz="0" w:space="0" w:color="auto"/>
                      </w:divBdr>
                      <w:divsChild>
                        <w:div w:id="1622029363">
                          <w:marLeft w:val="0"/>
                          <w:marRight w:val="0"/>
                          <w:marTop w:val="0"/>
                          <w:marBottom w:val="0"/>
                          <w:divBdr>
                            <w:top w:val="none" w:sz="0" w:space="0" w:color="auto"/>
                            <w:left w:val="none" w:sz="0" w:space="0" w:color="auto"/>
                            <w:bottom w:val="none" w:sz="0" w:space="0" w:color="auto"/>
                            <w:right w:val="none" w:sz="0" w:space="0" w:color="auto"/>
                          </w:divBdr>
                        </w:div>
                      </w:divsChild>
                    </w:div>
                    <w:div w:id="1807162365">
                      <w:marLeft w:val="0"/>
                      <w:marRight w:val="0"/>
                      <w:marTop w:val="0"/>
                      <w:marBottom w:val="0"/>
                      <w:divBdr>
                        <w:top w:val="none" w:sz="0" w:space="0" w:color="auto"/>
                        <w:left w:val="none" w:sz="0" w:space="0" w:color="auto"/>
                        <w:bottom w:val="none" w:sz="0" w:space="0" w:color="auto"/>
                        <w:right w:val="none" w:sz="0" w:space="0" w:color="auto"/>
                      </w:divBdr>
                      <w:divsChild>
                        <w:div w:id="82077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93429">
              <w:marLeft w:val="0"/>
              <w:marRight w:val="0"/>
              <w:marTop w:val="0"/>
              <w:marBottom w:val="0"/>
              <w:divBdr>
                <w:top w:val="none" w:sz="0" w:space="0" w:color="auto"/>
                <w:left w:val="none" w:sz="0" w:space="0" w:color="auto"/>
                <w:bottom w:val="none" w:sz="0" w:space="0" w:color="auto"/>
                <w:right w:val="none" w:sz="0" w:space="0" w:color="auto"/>
              </w:divBdr>
            </w:div>
          </w:divsChild>
        </w:div>
        <w:div w:id="814954141">
          <w:marLeft w:val="0"/>
          <w:marRight w:val="0"/>
          <w:marTop w:val="0"/>
          <w:marBottom w:val="0"/>
          <w:divBdr>
            <w:top w:val="none" w:sz="0" w:space="0" w:color="auto"/>
            <w:left w:val="none" w:sz="0" w:space="0" w:color="auto"/>
            <w:bottom w:val="none" w:sz="0" w:space="0" w:color="auto"/>
            <w:right w:val="none" w:sz="0" w:space="0" w:color="auto"/>
          </w:divBdr>
          <w:divsChild>
            <w:div w:id="856383379">
              <w:marLeft w:val="0"/>
              <w:marRight w:val="0"/>
              <w:marTop w:val="0"/>
              <w:marBottom w:val="0"/>
              <w:divBdr>
                <w:top w:val="none" w:sz="0" w:space="0" w:color="auto"/>
                <w:left w:val="none" w:sz="0" w:space="0" w:color="auto"/>
                <w:bottom w:val="none" w:sz="0" w:space="0" w:color="auto"/>
                <w:right w:val="none" w:sz="0" w:space="0" w:color="auto"/>
              </w:divBdr>
            </w:div>
          </w:divsChild>
        </w:div>
        <w:div w:id="1129251593">
          <w:marLeft w:val="0"/>
          <w:marRight w:val="0"/>
          <w:marTop w:val="0"/>
          <w:marBottom w:val="0"/>
          <w:divBdr>
            <w:top w:val="none" w:sz="0" w:space="0" w:color="auto"/>
            <w:left w:val="none" w:sz="0" w:space="0" w:color="auto"/>
            <w:bottom w:val="none" w:sz="0" w:space="0" w:color="auto"/>
            <w:right w:val="none" w:sz="0" w:space="0" w:color="auto"/>
          </w:divBdr>
          <w:divsChild>
            <w:div w:id="1205365229">
              <w:marLeft w:val="0"/>
              <w:marRight w:val="0"/>
              <w:marTop w:val="0"/>
              <w:marBottom w:val="0"/>
              <w:divBdr>
                <w:top w:val="none" w:sz="0" w:space="0" w:color="auto"/>
                <w:left w:val="none" w:sz="0" w:space="0" w:color="auto"/>
                <w:bottom w:val="none" w:sz="0" w:space="0" w:color="auto"/>
                <w:right w:val="none" w:sz="0" w:space="0" w:color="auto"/>
              </w:divBdr>
            </w:div>
          </w:divsChild>
        </w:div>
        <w:div w:id="1583099092">
          <w:marLeft w:val="0"/>
          <w:marRight w:val="0"/>
          <w:marTop w:val="0"/>
          <w:marBottom w:val="0"/>
          <w:divBdr>
            <w:top w:val="none" w:sz="0" w:space="0" w:color="auto"/>
            <w:left w:val="none" w:sz="0" w:space="0" w:color="auto"/>
            <w:bottom w:val="none" w:sz="0" w:space="0" w:color="auto"/>
            <w:right w:val="none" w:sz="0" w:space="0" w:color="auto"/>
          </w:divBdr>
          <w:divsChild>
            <w:div w:id="1931816619">
              <w:marLeft w:val="0"/>
              <w:marRight w:val="0"/>
              <w:marTop w:val="0"/>
              <w:marBottom w:val="0"/>
              <w:divBdr>
                <w:top w:val="none" w:sz="0" w:space="0" w:color="auto"/>
                <w:left w:val="none" w:sz="0" w:space="0" w:color="auto"/>
                <w:bottom w:val="none" w:sz="0" w:space="0" w:color="auto"/>
                <w:right w:val="none" w:sz="0" w:space="0" w:color="auto"/>
              </w:divBdr>
              <w:divsChild>
                <w:div w:id="1344431548">
                  <w:marLeft w:val="0"/>
                  <w:marRight w:val="0"/>
                  <w:marTop w:val="30"/>
                  <w:marBottom w:val="30"/>
                  <w:divBdr>
                    <w:top w:val="none" w:sz="0" w:space="0" w:color="auto"/>
                    <w:left w:val="none" w:sz="0" w:space="0" w:color="auto"/>
                    <w:bottom w:val="none" w:sz="0" w:space="0" w:color="auto"/>
                    <w:right w:val="none" w:sz="0" w:space="0" w:color="auto"/>
                  </w:divBdr>
                  <w:divsChild>
                    <w:div w:id="467481115">
                      <w:marLeft w:val="0"/>
                      <w:marRight w:val="0"/>
                      <w:marTop w:val="0"/>
                      <w:marBottom w:val="0"/>
                      <w:divBdr>
                        <w:top w:val="none" w:sz="0" w:space="0" w:color="auto"/>
                        <w:left w:val="none" w:sz="0" w:space="0" w:color="auto"/>
                        <w:bottom w:val="none" w:sz="0" w:space="0" w:color="auto"/>
                        <w:right w:val="none" w:sz="0" w:space="0" w:color="auto"/>
                      </w:divBdr>
                      <w:divsChild>
                        <w:div w:id="2147234647">
                          <w:marLeft w:val="0"/>
                          <w:marRight w:val="0"/>
                          <w:marTop w:val="0"/>
                          <w:marBottom w:val="0"/>
                          <w:divBdr>
                            <w:top w:val="none" w:sz="0" w:space="0" w:color="auto"/>
                            <w:left w:val="none" w:sz="0" w:space="0" w:color="auto"/>
                            <w:bottom w:val="none" w:sz="0" w:space="0" w:color="auto"/>
                            <w:right w:val="none" w:sz="0" w:space="0" w:color="auto"/>
                          </w:divBdr>
                        </w:div>
                      </w:divsChild>
                    </w:div>
                    <w:div w:id="1279215438">
                      <w:marLeft w:val="0"/>
                      <w:marRight w:val="0"/>
                      <w:marTop w:val="0"/>
                      <w:marBottom w:val="0"/>
                      <w:divBdr>
                        <w:top w:val="none" w:sz="0" w:space="0" w:color="auto"/>
                        <w:left w:val="none" w:sz="0" w:space="0" w:color="auto"/>
                        <w:bottom w:val="none" w:sz="0" w:space="0" w:color="auto"/>
                        <w:right w:val="none" w:sz="0" w:space="0" w:color="auto"/>
                      </w:divBdr>
                      <w:divsChild>
                        <w:div w:id="1152336109">
                          <w:marLeft w:val="0"/>
                          <w:marRight w:val="0"/>
                          <w:marTop w:val="0"/>
                          <w:marBottom w:val="0"/>
                          <w:divBdr>
                            <w:top w:val="none" w:sz="0" w:space="0" w:color="auto"/>
                            <w:left w:val="none" w:sz="0" w:space="0" w:color="auto"/>
                            <w:bottom w:val="none" w:sz="0" w:space="0" w:color="auto"/>
                            <w:right w:val="none" w:sz="0" w:space="0" w:color="auto"/>
                          </w:divBdr>
                        </w:div>
                      </w:divsChild>
                    </w:div>
                    <w:div w:id="36635743">
                      <w:marLeft w:val="0"/>
                      <w:marRight w:val="0"/>
                      <w:marTop w:val="0"/>
                      <w:marBottom w:val="0"/>
                      <w:divBdr>
                        <w:top w:val="none" w:sz="0" w:space="0" w:color="auto"/>
                        <w:left w:val="none" w:sz="0" w:space="0" w:color="auto"/>
                        <w:bottom w:val="none" w:sz="0" w:space="0" w:color="auto"/>
                        <w:right w:val="none" w:sz="0" w:space="0" w:color="auto"/>
                      </w:divBdr>
                      <w:divsChild>
                        <w:div w:id="724988079">
                          <w:marLeft w:val="0"/>
                          <w:marRight w:val="0"/>
                          <w:marTop w:val="0"/>
                          <w:marBottom w:val="0"/>
                          <w:divBdr>
                            <w:top w:val="none" w:sz="0" w:space="0" w:color="auto"/>
                            <w:left w:val="none" w:sz="0" w:space="0" w:color="auto"/>
                            <w:bottom w:val="none" w:sz="0" w:space="0" w:color="auto"/>
                            <w:right w:val="none" w:sz="0" w:space="0" w:color="auto"/>
                          </w:divBdr>
                        </w:div>
                      </w:divsChild>
                    </w:div>
                    <w:div w:id="968166146">
                      <w:marLeft w:val="0"/>
                      <w:marRight w:val="0"/>
                      <w:marTop w:val="0"/>
                      <w:marBottom w:val="0"/>
                      <w:divBdr>
                        <w:top w:val="none" w:sz="0" w:space="0" w:color="auto"/>
                        <w:left w:val="none" w:sz="0" w:space="0" w:color="auto"/>
                        <w:bottom w:val="none" w:sz="0" w:space="0" w:color="auto"/>
                        <w:right w:val="none" w:sz="0" w:space="0" w:color="auto"/>
                      </w:divBdr>
                      <w:divsChild>
                        <w:div w:id="932711743">
                          <w:marLeft w:val="0"/>
                          <w:marRight w:val="0"/>
                          <w:marTop w:val="0"/>
                          <w:marBottom w:val="0"/>
                          <w:divBdr>
                            <w:top w:val="none" w:sz="0" w:space="0" w:color="auto"/>
                            <w:left w:val="none" w:sz="0" w:space="0" w:color="auto"/>
                            <w:bottom w:val="none" w:sz="0" w:space="0" w:color="auto"/>
                            <w:right w:val="none" w:sz="0" w:space="0" w:color="auto"/>
                          </w:divBdr>
                        </w:div>
                      </w:divsChild>
                    </w:div>
                    <w:div w:id="560677685">
                      <w:marLeft w:val="0"/>
                      <w:marRight w:val="0"/>
                      <w:marTop w:val="0"/>
                      <w:marBottom w:val="0"/>
                      <w:divBdr>
                        <w:top w:val="none" w:sz="0" w:space="0" w:color="auto"/>
                        <w:left w:val="none" w:sz="0" w:space="0" w:color="auto"/>
                        <w:bottom w:val="none" w:sz="0" w:space="0" w:color="auto"/>
                        <w:right w:val="none" w:sz="0" w:space="0" w:color="auto"/>
                      </w:divBdr>
                      <w:divsChild>
                        <w:div w:id="1644189306">
                          <w:marLeft w:val="0"/>
                          <w:marRight w:val="0"/>
                          <w:marTop w:val="0"/>
                          <w:marBottom w:val="0"/>
                          <w:divBdr>
                            <w:top w:val="none" w:sz="0" w:space="0" w:color="auto"/>
                            <w:left w:val="none" w:sz="0" w:space="0" w:color="auto"/>
                            <w:bottom w:val="none" w:sz="0" w:space="0" w:color="auto"/>
                            <w:right w:val="none" w:sz="0" w:space="0" w:color="auto"/>
                          </w:divBdr>
                        </w:div>
                      </w:divsChild>
                    </w:div>
                    <w:div w:id="544877042">
                      <w:marLeft w:val="0"/>
                      <w:marRight w:val="0"/>
                      <w:marTop w:val="0"/>
                      <w:marBottom w:val="0"/>
                      <w:divBdr>
                        <w:top w:val="none" w:sz="0" w:space="0" w:color="auto"/>
                        <w:left w:val="none" w:sz="0" w:space="0" w:color="auto"/>
                        <w:bottom w:val="none" w:sz="0" w:space="0" w:color="auto"/>
                        <w:right w:val="none" w:sz="0" w:space="0" w:color="auto"/>
                      </w:divBdr>
                      <w:divsChild>
                        <w:div w:id="1735741773">
                          <w:marLeft w:val="0"/>
                          <w:marRight w:val="0"/>
                          <w:marTop w:val="0"/>
                          <w:marBottom w:val="0"/>
                          <w:divBdr>
                            <w:top w:val="none" w:sz="0" w:space="0" w:color="auto"/>
                            <w:left w:val="none" w:sz="0" w:space="0" w:color="auto"/>
                            <w:bottom w:val="none" w:sz="0" w:space="0" w:color="auto"/>
                            <w:right w:val="none" w:sz="0" w:space="0" w:color="auto"/>
                          </w:divBdr>
                        </w:div>
                      </w:divsChild>
                    </w:div>
                    <w:div w:id="301420978">
                      <w:marLeft w:val="0"/>
                      <w:marRight w:val="0"/>
                      <w:marTop w:val="0"/>
                      <w:marBottom w:val="0"/>
                      <w:divBdr>
                        <w:top w:val="none" w:sz="0" w:space="0" w:color="auto"/>
                        <w:left w:val="none" w:sz="0" w:space="0" w:color="auto"/>
                        <w:bottom w:val="none" w:sz="0" w:space="0" w:color="auto"/>
                        <w:right w:val="none" w:sz="0" w:space="0" w:color="auto"/>
                      </w:divBdr>
                      <w:divsChild>
                        <w:div w:id="1104618772">
                          <w:marLeft w:val="0"/>
                          <w:marRight w:val="0"/>
                          <w:marTop w:val="0"/>
                          <w:marBottom w:val="0"/>
                          <w:divBdr>
                            <w:top w:val="none" w:sz="0" w:space="0" w:color="auto"/>
                            <w:left w:val="none" w:sz="0" w:space="0" w:color="auto"/>
                            <w:bottom w:val="none" w:sz="0" w:space="0" w:color="auto"/>
                            <w:right w:val="none" w:sz="0" w:space="0" w:color="auto"/>
                          </w:divBdr>
                        </w:div>
                      </w:divsChild>
                    </w:div>
                    <w:div w:id="1758987364">
                      <w:marLeft w:val="0"/>
                      <w:marRight w:val="0"/>
                      <w:marTop w:val="0"/>
                      <w:marBottom w:val="0"/>
                      <w:divBdr>
                        <w:top w:val="none" w:sz="0" w:space="0" w:color="auto"/>
                        <w:left w:val="none" w:sz="0" w:space="0" w:color="auto"/>
                        <w:bottom w:val="none" w:sz="0" w:space="0" w:color="auto"/>
                        <w:right w:val="none" w:sz="0" w:space="0" w:color="auto"/>
                      </w:divBdr>
                      <w:divsChild>
                        <w:div w:id="1175728277">
                          <w:marLeft w:val="0"/>
                          <w:marRight w:val="0"/>
                          <w:marTop w:val="0"/>
                          <w:marBottom w:val="0"/>
                          <w:divBdr>
                            <w:top w:val="none" w:sz="0" w:space="0" w:color="auto"/>
                            <w:left w:val="none" w:sz="0" w:space="0" w:color="auto"/>
                            <w:bottom w:val="none" w:sz="0" w:space="0" w:color="auto"/>
                            <w:right w:val="none" w:sz="0" w:space="0" w:color="auto"/>
                          </w:divBdr>
                        </w:div>
                      </w:divsChild>
                    </w:div>
                    <w:div w:id="1334263333">
                      <w:marLeft w:val="0"/>
                      <w:marRight w:val="0"/>
                      <w:marTop w:val="0"/>
                      <w:marBottom w:val="0"/>
                      <w:divBdr>
                        <w:top w:val="none" w:sz="0" w:space="0" w:color="auto"/>
                        <w:left w:val="none" w:sz="0" w:space="0" w:color="auto"/>
                        <w:bottom w:val="none" w:sz="0" w:space="0" w:color="auto"/>
                        <w:right w:val="none" w:sz="0" w:space="0" w:color="auto"/>
                      </w:divBdr>
                      <w:divsChild>
                        <w:div w:id="247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764444">
              <w:marLeft w:val="0"/>
              <w:marRight w:val="0"/>
              <w:marTop w:val="0"/>
              <w:marBottom w:val="0"/>
              <w:divBdr>
                <w:top w:val="none" w:sz="0" w:space="0" w:color="auto"/>
                <w:left w:val="none" w:sz="0" w:space="0" w:color="auto"/>
                <w:bottom w:val="none" w:sz="0" w:space="0" w:color="auto"/>
                <w:right w:val="none" w:sz="0" w:space="0" w:color="auto"/>
              </w:divBdr>
            </w:div>
          </w:divsChild>
        </w:div>
        <w:div w:id="1278679143">
          <w:marLeft w:val="0"/>
          <w:marRight w:val="0"/>
          <w:marTop w:val="0"/>
          <w:marBottom w:val="0"/>
          <w:divBdr>
            <w:top w:val="none" w:sz="0" w:space="0" w:color="auto"/>
            <w:left w:val="none" w:sz="0" w:space="0" w:color="auto"/>
            <w:bottom w:val="none" w:sz="0" w:space="0" w:color="auto"/>
            <w:right w:val="none" w:sz="0" w:space="0" w:color="auto"/>
          </w:divBdr>
          <w:divsChild>
            <w:div w:id="1484933260">
              <w:marLeft w:val="0"/>
              <w:marRight w:val="0"/>
              <w:marTop w:val="0"/>
              <w:marBottom w:val="0"/>
              <w:divBdr>
                <w:top w:val="none" w:sz="0" w:space="0" w:color="auto"/>
                <w:left w:val="none" w:sz="0" w:space="0" w:color="auto"/>
                <w:bottom w:val="none" w:sz="0" w:space="0" w:color="auto"/>
                <w:right w:val="none" w:sz="0" w:space="0" w:color="auto"/>
              </w:divBdr>
            </w:div>
          </w:divsChild>
        </w:div>
        <w:div w:id="1295023851">
          <w:marLeft w:val="0"/>
          <w:marRight w:val="0"/>
          <w:marTop w:val="0"/>
          <w:marBottom w:val="0"/>
          <w:divBdr>
            <w:top w:val="none" w:sz="0" w:space="0" w:color="auto"/>
            <w:left w:val="none" w:sz="0" w:space="0" w:color="auto"/>
            <w:bottom w:val="none" w:sz="0" w:space="0" w:color="auto"/>
            <w:right w:val="none" w:sz="0" w:space="0" w:color="auto"/>
          </w:divBdr>
          <w:divsChild>
            <w:div w:id="1228802327">
              <w:marLeft w:val="0"/>
              <w:marRight w:val="0"/>
              <w:marTop w:val="0"/>
              <w:marBottom w:val="0"/>
              <w:divBdr>
                <w:top w:val="none" w:sz="0" w:space="0" w:color="auto"/>
                <w:left w:val="none" w:sz="0" w:space="0" w:color="auto"/>
                <w:bottom w:val="none" w:sz="0" w:space="0" w:color="auto"/>
                <w:right w:val="none" w:sz="0" w:space="0" w:color="auto"/>
              </w:divBdr>
            </w:div>
          </w:divsChild>
        </w:div>
        <w:div w:id="605307314">
          <w:marLeft w:val="0"/>
          <w:marRight w:val="0"/>
          <w:marTop w:val="0"/>
          <w:marBottom w:val="0"/>
          <w:divBdr>
            <w:top w:val="none" w:sz="0" w:space="0" w:color="auto"/>
            <w:left w:val="none" w:sz="0" w:space="0" w:color="auto"/>
            <w:bottom w:val="none" w:sz="0" w:space="0" w:color="auto"/>
            <w:right w:val="none" w:sz="0" w:space="0" w:color="auto"/>
          </w:divBdr>
          <w:divsChild>
            <w:div w:id="1441217804">
              <w:marLeft w:val="0"/>
              <w:marRight w:val="0"/>
              <w:marTop w:val="0"/>
              <w:marBottom w:val="0"/>
              <w:divBdr>
                <w:top w:val="none" w:sz="0" w:space="0" w:color="auto"/>
                <w:left w:val="none" w:sz="0" w:space="0" w:color="auto"/>
                <w:bottom w:val="none" w:sz="0" w:space="0" w:color="auto"/>
                <w:right w:val="none" w:sz="0" w:space="0" w:color="auto"/>
              </w:divBdr>
              <w:divsChild>
                <w:div w:id="245379254">
                  <w:marLeft w:val="0"/>
                  <w:marRight w:val="0"/>
                  <w:marTop w:val="30"/>
                  <w:marBottom w:val="30"/>
                  <w:divBdr>
                    <w:top w:val="none" w:sz="0" w:space="0" w:color="auto"/>
                    <w:left w:val="none" w:sz="0" w:space="0" w:color="auto"/>
                    <w:bottom w:val="none" w:sz="0" w:space="0" w:color="auto"/>
                    <w:right w:val="none" w:sz="0" w:space="0" w:color="auto"/>
                  </w:divBdr>
                  <w:divsChild>
                    <w:div w:id="972060765">
                      <w:marLeft w:val="0"/>
                      <w:marRight w:val="0"/>
                      <w:marTop w:val="0"/>
                      <w:marBottom w:val="0"/>
                      <w:divBdr>
                        <w:top w:val="none" w:sz="0" w:space="0" w:color="auto"/>
                        <w:left w:val="none" w:sz="0" w:space="0" w:color="auto"/>
                        <w:bottom w:val="none" w:sz="0" w:space="0" w:color="auto"/>
                        <w:right w:val="none" w:sz="0" w:space="0" w:color="auto"/>
                      </w:divBdr>
                      <w:divsChild>
                        <w:div w:id="544099301">
                          <w:marLeft w:val="0"/>
                          <w:marRight w:val="0"/>
                          <w:marTop w:val="0"/>
                          <w:marBottom w:val="0"/>
                          <w:divBdr>
                            <w:top w:val="none" w:sz="0" w:space="0" w:color="auto"/>
                            <w:left w:val="none" w:sz="0" w:space="0" w:color="auto"/>
                            <w:bottom w:val="none" w:sz="0" w:space="0" w:color="auto"/>
                            <w:right w:val="none" w:sz="0" w:space="0" w:color="auto"/>
                          </w:divBdr>
                        </w:div>
                      </w:divsChild>
                    </w:div>
                    <w:div w:id="646320873">
                      <w:marLeft w:val="0"/>
                      <w:marRight w:val="0"/>
                      <w:marTop w:val="0"/>
                      <w:marBottom w:val="0"/>
                      <w:divBdr>
                        <w:top w:val="none" w:sz="0" w:space="0" w:color="auto"/>
                        <w:left w:val="none" w:sz="0" w:space="0" w:color="auto"/>
                        <w:bottom w:val="none" w:sz="0" w:space="0" w:color="auto"/>
                        <w:right w:val="none" w:sz="0" w:space="0" w:color="auto"/>
                      </w:divBdr>
                      <w:divsChild>
                        <w:div w:id="798885979">
                          <w:marLeft w:val="0"/>
                          <w:marRight w:val="0"/>
                          <w:marTop w:val="0"/>
                          <w:marBottom w:val="0"/>
                          <w:divBdr>
                            <w:top w:val="none" w:sz="0" w:space="0" w:color="auto"/>
                            <w:left w:val="none" w:sz="0" w:space="0" w:color="auto"/>
                            <w:bottom w:val="none" w:sz="0" w:space="0" w:color="auto"/>
                            <w:right w:val="none" w:sz="0" w:space="0" w:color="auto"/>
                          </w:divBdr>
                        </w:div>
                      </w:divsChild>
                    </w:div>
                    <w:div w:id="922497235">
                      <w:marLeft w:val="0"/>
                      <w:marRight w:val="0"/>
                      <w:marTop w:val="0"/>
                      <w:marBottom w:val="0"/>
                      <w:divBdr>
                        <w:top w:val="none" w:sz="0" w:space="0" w:color="auto"/>
                        <w:left w:val="none" w:sz="0" w:space="0" w:color="auto"/>
                        <w:bottom w:val="none" w:sz="0" w:space="0" w:color="auto"/>
                        <w:right w:val="none" w:sz="0" w:space="0" w:color="auto"/>
                      </w:divBdr>
                      <w:divsChild>
                        <w:div w:id="1979259270">
                          <w:marLeft w:val="0"/>
                          <w:marRight w:val="0"/>
                          <w:marTop w:val="0"/>
                          <w:marBottom w:val="0"/>
                          <w:divBdr>
                            <w:top w:val="none" w:sz="0" w:space="0" w:color="auto"/>
                            <w:left w:val="none" w:sz="0" w:space="0" w:color="auto"/>
                            <w:bottom w:val="none" w:sz="0" w:space="0" w:color="auto"/>
                            <w:right w:val="none" w:sz="0" w:space="0" w:color="auto"/>
                          </w:divBdr>
                        </w:div>
                      </w:divsChild>
                    </w:div>
                    <w:div w:id="2063164361">
                      <w:marLeft w:val="0"/>
                      <w:marRight w:val="0"/>
                      <w:marTop w:val="0"/>
                      <w:marBottom w:val="0"/>
                      <w:divBdr>
                        <w:top w:val="none" w:sz="0" w:space="0" w:color="auto"/>
                        <w:left w:val="none" w:sz="0" w:space="0" w:color="auto"/>
                        <w:bottom w:val="none" w:sz="0" w:space="0" w:color="auto"/>
                        <w:right w:val="none" w:sz="0" w:space="0" w:color="auto"/>
                      </w:divBdr>
                      <w:divsChild>
                        <w:div w:id="725834701">
                          <w:marLeft w:val="0"/>
                          <w:marRight w:val="0"/>
                          <w:marTop w:val="0"/>
                          <w:marBottom w:val="0"/>
                          <w:divBdr>
                            <w:top w:val="none" w:sz="0" w:space="0" w:color="auto"/>
                            <w:left w:val="none" w:sz="0" w:space="0" w:color="auto"/>
                            <w:bottom w:val="none" w:sz="0" w:space="0" w:color="auto"/>
                            <w:right w:val="none" w:sz="0" w:space="0" w:color="auto"/>
                          </w:divBdr>
                        </w:div>
                      </w:divsChild>
                    </w:div>
                    <w:div w:id="265114945">
                      <w:marLeft w:val="0"/>
                      <w:marRight w:val="0"/>
                      <w:marTop w:val="0"/>
                      <w:marBottom w:val="0"/>
                      <w:divBdr>
                        <w:top w:val="none" w:sz="0" w:space="0" w:color="auto"/>
                        <w:left w:val="none" w:sz="0" w:space="0" w:color="auto"/>
                        <w:bottom w:val="none" w:sz="0" w:space="0" w:color="auto"/>
                        <w:right w:val="none" w:sz="0" w:space="0" w:color="auto"/>
                      </w:divBdr>
                      <w:divsChild>
                        <w:div w:id="1071658875">
                          <w:marLeft w:val="0"/>
                          <w:marRight w:val="0"/>
                          <w:marTop w:val="0"/>
                          <w:marBottom w:val="0"/>
                          <w:divBdr>
                            <w:top w:val="none" w:sz="0" w:space="0" w:color="auto"/>
                            <w:left w:val="none" w:sz="0" w:space="0" w:color="auto"/>
                            <w:bottom w:val="none" w:sz="0" w:space="0" w:color="auto"/>
                            <w:right w:val="none" w:sz="0" w:space="0" w:color="auto"/>
                          </w:divBdr>
                        </w:div>
                      </w:divsChild>
                    </w:div>
                    <w:div w:id="595678011">
                      <w:marLeft w:val="0"/>
                      <w:marRight w:val="0"/>
                      <w:marTop w:val="0"/>
                      <w:marBottom w:val="0"/>
                      <w:divBdr>
                        <w:top w:val="none" w:sz="0" w:space="0" w:color="auto"/>
                        <w:left w:val="none" w:sz="0" w:space="0" w:color="auto"/>
                        <w:bottom w:val="none" w:sz="0" w:space="0" w:color="auto"/>
                        <w:right w:val="none" w:sz="0" w:space="0" w:color="auto"/>
                      </w:divBdr>
                      <w:divsChild>
                        <w:div w:id="938685338">
                          <w:marLeft w:val="0"/>
                          <w:marRight w:val="0"/>
                          <w:marTop w:val="0"/>
                          <w:marBottom w:val="0"/>
                          <w:divBdr>
                            <w:top w:val="none" w:sz="0" w:space="0" w:color="auto"/>
                            <w:left w:val="none" w:sz="0" w:space="0" w:color="auto"/>
                            <w:bottom w:val="none" w:sz="0" w:space="0" w:color="auto"/>
                            <w:right w:val="none" w:sz="0" w:space="0" w:color="auto"/>
                          </w:divBdr>
                        </w:div>
                      </w:divsChild>
                    </w:div>
                    <w:div w:id="235870912">
                      <w:marLeft w:val="0"/>
                      <w:marRight w:val="0"/>
                      <w:marTop w:val="0"/>
                      <w:marBottom w:val="0"/>
                      <w:divBdr>
                        <w:top w:val="none" w:sz="0" w:space="0" w:color="auto"/>
                        <w:left w:val="none" w:sz="0" w:space="0" w:color="auto"/>
                        <w:bottom w:val="none" w:sz="0" w:space="0" w:color="auto"/>
                        <w:right w:val="none" w:sz="0" w:space="0" w:color="auto"/>
                      </w:divBdr>
                      <w:divsChild>
                        <w:div w:id="254363516">
                          <w:marLeft w:val="0"/>
                          <w:marRight w:val="0"/>
                          <w:marTop w:val="0"/>
                          <w:marBottom w:val="0"/>
                          <w:divBdr>
                            <w:top w:val="none" w:sz="0" w:space="0" w:color="auto"/>
                            <w:left w:val="none" w:sz="0" w:space="0" w:color="auto"/>
                            <w:bottom w:val="none" w:sz="0" w:space="0" w:color="auto"/>
                            <w:right w:val="none" w:sz="0" w:space="0" w:color="auto"/>
                          </w:divBdr>
                        </w:div>
                      </w:divsChild>
                    </w:div>
                    <w:div w:id="1359160924">
                      <w:marLeft w:val="0"/>
                      <w:marRight w:val="0"/>
                      <w:marTop w:val="0"/>
                      <w:marBottom w:val="0"/>
                      <w:divBdr>
                        <w:top w:val="none" w:sz="0" w:space="0" w:color="auto"/>
                        <w:left w:val="none" w:sz="0" w:space="0" w:color="auto"/>
                        <w:bottom w:val="none" w:sz="0" w:space="0" w:color="auto"/>
                        <w:right w:val="none" w:sz="0" w:space="0" w:color="auto"/>
                      </w:divBdr>
                      <w:divsChild>
                        <w:div w:id="1055003404">
                          <w:marLeft w:val="0"/>
                          <w:marRight w:val="0"/>
                          <w:marTop w:val="0"/>
                          <w:marBottom w:val="0"/>
                          <w:divBdr>
                            <w:top w:val="none" w:sz="0" w:space="0" w:color="auto"/>
                            <w:left w:val="none" w:sz="0" w:space="0" w:color="auto"/>
                            <w:bottom w:val="none" w:sz="0" w:space="0" w:color="auto"/>
                            <w:right w:val="none" w:sz="0" w:space="0" w:color="auto"/>
                          </w:divBdr>
                        </w:div>
                      </w:divsChild>
                    </w:div>
                    <w:div w:id="2110271083">
                      <w:marLeft w:val="0"/>
                      <w:marRight w:val="0"/>
                      <w:marTop w:val="0"/>
                      <w:marBottom w:val="0"/>
                      <w:divBdr>
                        <w:top w:val="none" w:sz="0" w:space="0" w:color="auto"/>
                        <w:left w:val="none" w:sz="0" w:space="0" w:color="auto"/>
                        <w:bottom w:val="none" w:sz="0" w:space="0" w:color="auto"/>
                        <w:right w:val="none" w:sz="0" w:space="0" w:color="auto"/>
                      </w:divBdr>
                      <w:divsChild>
                        <w:div w:id="46420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487532">
              <w:marLeft w:val="0"/>
              <w:marRight w:val="0"/>
              <w:marTop w:val="0"/>
              <w:marBottom w:val="0"/>
              <w:divBdr>
                <w:top w:val="none" w:sz="0" w:space="0" w:color="auto"/>
                <w:left w:val="none" w:sz="0" w:space="0" w:color="auto"/>
                <w:bottom w:val="none" w:sz="0" w:space="0" w:color="auto"/>
                <w:right w:val="none" w:sz="0" w:space="0" w:color="auto"/>
              </w:divBdr>
            </w:div>
          </w:divsChild>
        </w:div>
        <w:div w:id="736246694">
          <w:marLeft w:val="0"/>
          <w:marRight w:val="0"/>
          <w:marTop w:val="0"/>
          <w:marBottom w:val="0"/>
          <w:divBdr>
            <w:top w:val="none" w:sz="0" w:space="0" w:color="auto"/>
            <w:left w:val="none" w:sz="0" w:space="0" w:color="auto"/>
            <w:bottom w:val="none" w:sz="0" w:space="0" w:color="auto"/>
            <w:right w:val="none" w:sz="0" w:space="0" w:color="auto"/>
          </w:divBdr>
          <w:divsChild>
            <w:div w:id="1726639586">
              <w:marLeft w:val="0"/>
              <w:marRight w:val="0"/>
              <w:marTop w:val="0"/>
              <w:marBottom w:val="0"/>
              <w:divBdr>
                <w:top w:val="none" w:sz="0" w:space="0" w:color="auto"/>
                <w:left w:val="none" w:sz="0" w:space="0" w:color="auto"/>
                <w:bottom w:val="none" w:sz="0" w:space="0" w:color="auto"/>
                <w:right w:val="none" w:sz="0" w:space="0" w:color="auto"/>
              </w:divBdr>
            </w:div>
          </w:divsChild>
        </w:div>
        <w:div w:id="1690176183">
          <w:marLeft w:val="0"/>
          <w:marRight w:val="0"/>
          <w:marTop w:val="0"/>
          <w:marBottom w:val="0"/>
          <w:divBdr>
            <w:top w:val="none" w:sz="0" w:space="0" w:color="auto"/>
            <w:left w:val="none" w:sz="0" w:space="0" w:color="auto"/>
            <w:bottom w:val="none" w:sz="0" w:space="0" w:color="auto"/>
            <w:right w:val="none" w:sz="0" w:space="0" w:color="auto"/>
          </w:divBdr>
          <w:divsChild>
            <w:div w:id="1629698458">
              <w:marLeft w:val="0"/>
              <w:marRight w:val="0"/>
              <w:marTop w:val="0"/>
              <w:marBottom w:val="0"/>
              <w:divBdr>
                <w:top w:val="none" w:sz="0" w:space="0" w:color="auto"/>
                <w:left w:val="none" w:sz="0" w:space="0" w:color="auto"/>
                <w:bottom w:val="none" w:sz="0" w:space="0" w:color="auto"/>
                <w:right w:val="none" w:sz="0" w:space="0" w:color="auto"/>
              </w:divBdr>
            </w:div>
          </w:divsChild>
        </w:div>
        <w:div w:id="1364020776">
          <w:marLeft w:val="0"/>
          <w:marRight w:val="0"/>
          <w:marTop w:val="0"/>
          <w:marBottom w:val="0"/>
          <w:divBdr>
            <w:top w:val="none" w:sz="0" w:space="0" w:color="auto"/>
            <w:left w:val="none" w:sz="0" w:space="0" w:color="auto"/>
            <w:bottom w:val="none" w:sz="0" w:space="0" w:color="auto"/>
            <w:right w:val="none" w:sz="0" w:space="0" w:color="auto"/>
          </w:divBdr>
          <w:divsChild>
            <w:div w:id="73017463">
              <w:marLeft w:val="0"/>
              <w:marRight w:val="0"/>
              <w:marTop w:val="0"/>
              <w:marBottom w:val="0"/>
              <w:divBdr>
                <w:top w:val="none" w:sz="0" w:space="0" w:color="auto"/>
                <w:left w:val="none" w:sz="0" w:space="0" w:color="auto"/>
                <w:bottom w:val="none" w:sz="0" w:space="0" w:color="auto"/>
                <w:right w:val="none" w:sz="0" w:space="0" w:color="auto"/>
              </w:divBdr>
              <w:divsChild>
                <w:div w:id="1069573130">
                  <w:marLeft w:val="0"/>
                  <w:marRight w:val="0"/>
                  <w:marTop w:val="30"/>
                  <w:marBottom w:val="30"/>
                  <w:divBdr>
                    <w:top w:val="none" w:sz="0" w:space="0" w:color="auto"/>
                    <w:left w:val="none" w:sz="0" w:space="0" w:color="auto"/>
                    <w:bottom w:val="none" w:sz="0" w:space="0" w:color="auto"/>
                    <w:right w:val="none" w:sz="0" w:space="0" w:color="auto"/>
                  </w:divBdr>
                  <w:divsChild>
                    <w:div w:id="1558054409">
                      <w:marLeft w:val="0"/>
                      <w:marRight w:val="0"/>
                      <w:marTop w:val="0"/>
                      <w:marBottom w:val="0"/>
                      <w:divBdr>
                        <w:top w:val="none" w:sz="0" w:space="0" w:color="auto"/>
                        <w:left w:val="none" w:sz="0" w:space="0" w:color="auto"/>
                        <w:bottom w:val="none" w:sz="0" w:space="0" w:color="auto"/>
                        <w:right w:val="none" w:sz="0" w:space="0" w:color="auto"/>
                      </w:divBdr>
                      <w:divsChild>
                        <w:div w:id="545064332">
                          <w:marLeft w:val="0"/>
                          <w:marRight w:val="0"/>
                          <w:marTop w:val="0"/>
                          <w:marBottom w:val="0"/>
                          <w:divBdr>
                            <w:top w:val="none" w:sz="0" w:space="0" w:color="auto"/>
                            <w:left w:val="none" w:sz="0" w:space="0" w:color="auto"/>
                            <w:bottom w:val="none" w:sz="0" w:space="0" w:color="auto"/>
                            <w:right w:val="none" w:sz="0" w:space="0" w:color="auto"/>
                          </w:divBdr>
                        </w:div>
                      </w:divsChild>
                    </w:div>
                    <w:div w:id="871771727">
                      <w:marLeft w:val="0"/>
                      <w:marRight w:val="0"/>
                      <w:marTop w:val="0"/>
                      <w:marBottom w:val="0"/>
                      <w:divBdr>
                        <w:top w:val="none" w:sz="0" w:space="0" w:color="auto"/>
                        <w:left w:val="none" w:sz="0" w:space="0" w:color="auto"/>
                        <w:bottom w:val="none" w:sz="0" w:space="0" w:color="auto"/>
                        <w:right w:val="none" w:sz="0" w:space="0" w:color="auto"/>
                      </w:divBdr>
                      <w:divsChild>
                        <w:div w:id="187914007">
                          <w:marLeft w:val="0"/>
                          <w:marRight w:val="0"/>
                          <w:marTop w:val="0"/>
                          <w:marBottom w:val="0"/>
                          <w:divBdr>
                            <w:top w:val="none" w:sz="0" w:space="0" w:color="auto"/>
                            <w:left w:val="none" w:sz="0" w:space="0" w:color="auto"/>
                            <w:bottom w:val="none" w:sz="0" w:space="0" w:color="auto"/>
                            <w:right w:val="none" w:sz="0" w:space="0" w:color="auto"/>
                          </w:divBdr>
                        </w:div>
                      </w:divsChild>
                    </w:div>
                    <w:div w:id="1437753398">
                      <w:marLeft w:val="0"/>
                      <w:marRight w:val="0"/>
                      <w:marTop w:val="0"/>
                      <w:marBottom w:val="0"/>
                      <w:divBdr>
                        <w:top w:val="none" w:sz="0" w:space="0" w:color="auto"/>
                        <w:left w:val="none" w:sz="0" w:space="0" w:color="auto"/>
                        <w:bottom w:val="none" w:sz="0" w:space="0" w:color="auto"/>
                        <w:right w:val="none" w:sz="0" w:space="0" w:color="auto"/>
                      </w:divBdr>
                      <w:divsChild>
                        <w:div w:id="270549826">
                          <w:marLeft w:val="0"/>
                          <w:marRight w:val="0"/>
                          <w:marTop w:val="0"/>
                          <w:marBottom w:val="0"/>
                          <w:divBdr>
                            <w:top w:val="none" w:sz="0" w:space="0" w:color="auto"/>
                            <w:left w:val="none" w:sz="0" w:space="0" w:color="auto"/>
                            <w:bottom w:val="none" w:sz="0" w:space="0" w:color="auto"/>
                            <w:right w:val="none" w:sz="0" w:space="0" w:color="auto"/>
                          </w:divBdr>
                        </w:div>
                      </w:divsChild>
                    </w:div>
                    <w:div w:id="1444762506">
                      <w:marLeft w:val="0"/>
                      <w:marRight w:val="0"/>
                      <w:marTop w:val="0"/>
                      <w:marBottom w:val="0"/>
                      <w:divBdr>
                        <w:top w:val="none" w:sz="0" w:space="0" w:color="auto"/>
                        <w:left w:val="none" w:sz="0" w:space="0" w:color="auto"/>
                        <w:bottom w:val="none" w:sz="0" w:space="0" w:color="auto"/>
                        <w:right w:val="none" w:sz="0" w:space="0" w:color="auto"/>
                      </w:divBdr>
                      <w:divsChild>
                        <w:div w:id="764039109">
                          <w:marLeft w:val="0"/>
                          <w:marRight w:val="0"/>
                          <w:marTop w:val="0"/>
                          <w:marBottom w:val="0"/>
                          <w:divBdr>
                            <w:top w:val="none" w:sz="0" w:space="0" w:color="auto"/>
                            <w:left w:val="none" w:sz="0" w:space="0" w:color="auto"/>
                            <w:bottom w:val="none" w:sz="0" w:space="0" w:color="auto"/>
                            <w:right w:val="none" w:sz="0" w:space="0" w:color="auto"/>
                          </w:divBdr>
                        </w:div>
                      </w:divsChild>
                    </w:div>
                    <w:div w:id="1049651632">
                      <w:marLeft w:val="0"/>
                      <w:marRight w:val="0"/>
                      <w:marTop w:val="0"/>
                      <w:marBottom w:val="0"/>
                      <w:divBdr>
                        <w:top w:val="none" w:sz="0" w:space="0" w:color="auto"/>
                        <w:left w:val="none" w:sz="0" w:space="0" w:color="auto"/>
                        <w:bottom w:val="none" w:sz="0" w:space="0" w:color="auto"/>
                        <w:right w:val="none" w:sz="0" w:space="0" w:color="auto"/>
                      </w:divBdr>
                      <w:divsChild>
                        <w:div w:id="88089220">
                          <w:marLeft w:val="0"/>
                          <w:marRight w:val="0"/>
                          <w:marTop w:val="0"/>
                          <w:marBottom w:val="0"/>
                          <w:divBdr>
                            <w:top w:val="none" w:sz="0" w:space="0" w:color="auto"/>
                            <w:left w:val="none" w:sz="0" w:space="0" w:color="auto"/>
                            <w:bottom w:val="none" w:sz="0" w:space="0" w:color="auto"/>
                            <w:right w:val="none" w:sz="0" w:space="0" w:color="auto"/>
                          </w:divBdr>
                        </w:div>
                      </w:divsChild>
                    </w:div>
                    <w:div w:id="680812121">
                      <w:marLeft w:val="0"/>
                      <w:marRight w:val="0"/>
                      <w:marTop w:val="0"/>
                      <w:marBottom w:val="0"/>
                      <w:divBdr>
                        <w:top w:val="none" w:sz="0" w:space="0" w:color="auto"/>
                        <w:left w:val="none" w:sz="0" w:space="0" w:color="auto"/>
                        <w:bottom w:val="none" w:sz="0" w:space="0" w:color="auto"/>
                        <w:right w:val="none" w:sz="0" w:space="0" w:color="auto"/>
                      </w:divBdr>
                      <w:divsChild>
                        <w:div w:id="833689829">
                          <w:marLeft w:val="0"/>
                          <w:marRight w:val="0"/>
                          <w:marTop w:val="0"/>
                          <w:marBottom w:val="0"/>
                          <w:divBdr>
                            <w:top w:val="none" w:sz="0" w:space="0" w:color="auto"/>
                            <w:left w:val="none" w:sz="0" w:space="0" w:color="auto"/>
                            <w:bottom w:val="none" w:sz="0" w:space="0" w:color="auto"/>
                            <w:right w:val="none" w:sz="0" w:space="0" w:color="auto"/>
                          </w:divBdr>
                        </w:div>
                      </w:divsChild>
                    </w:div>
                    <w:div w:id="1418360643">
                      <w:marLeft w:val="0"/>
                      <w:marRight w:val="0"/>
                      <w:marTop w:val="0"/>
                      <w:marBottom w:val="0"/>
                      <w:divBdr>
                        <w:top w:val="none" w:sz="0" w:space="0" w:color="auto"/>
                        <w:left w:val="none" w:sz="0" w:space="0" w:color="auto"/>
                        <w:bottom w:val="none" w:sz="0" w:space="0" w:color="auto"/>
                        <w:right w:val="none" w:sz="0" w:space="0" w:color="auto"/>
                      </w:divBdr>
                      <w:divsChild>
                        <w:div w:id="729688486">
                          <w:marLeft w:val="0"/>
                          <w:marRight w:val="0"/>
                          <w:marTop w:val="0"/>
                          <w:marBottom w:val="0"/>
                          <w:divBdr>
                            <w:top w:val="none" w:sz="0" w:space="0" w:color="auto"/>
                            <w:left w:val="none" w:sz="0" w:space="0" w:color="auto"/>
                            <w:bottom w:val="none" w:sz="0" w:space="0" w:color="auto"/>
                            <w:right w:val="none" w:sz="0" w:space="0" w:color="auto"/>
                          </w:divBdr>
                        </w:div>
                      </w:divsChild>
                    </w:div>
                    <w:div w:id="483938475">
                      <w:marLeft w:val="0"/>
                      <w:marRight w:val="0"/>
                      <w:marTop w:val="0"/>
                      <w:marBottom w:val="0"/>
                      <w:divBdr>
                        <w:top w:val="none" w:sz="0" w:space="0" w:color="auto"/>
                        <w:left w:val="none" w:sz="0" w:space="0" w:color="auto"/>
                        <w:bottom w:val="none" w:sz="0" w:space="0" w:color="auto"/>
                        <w:right w:val="none" w:sz="0" w:space="0" w:color="auto"/>
                      </w:divBdr>
                      <w:divsChild>
                        <w:div w:id="2087192294">
                          <w:marLeft w:val="0"/>
                          <w:marRight w:val="0"/>
                          <w:marTop w:val="0"/>
                          <w:marBottom w:val="0"/>
                          <w:divBdr>
                            <w:top w:val="none" w:sz="0" w:space="0" w:color="auto"/>
                            <w:left w:val="none" w:sz="0" w:space="0" w:color="auto"/>
                            <w:bottom w:val="none" w:sz="0" w:space="0" w:color="auto"/>
                            <w:right w:val="none" w:sz="0" w:space="0" w:color="auto"/>
                          </w:divBdr>
                        </w:div>
                      </w:divsChild>
                    </w:div>
                    <w:div w:id="1911036982">
                      <w:marLeft w:val="0"/>
                      <w:marRight w:val="0"/>
                      <w:marTop w:val="0"/>
                      <w:marBottom w:val="0"/>
                      <w:divBdr>
                        <w:top w:val="none" w:sz="0" w:space="0" w:color="auto"/>
                        <w:left w:val="none" w:sz="0" w:space="0" w:color="auto"/>
                        <w:bottom w:val="none" w:sz="0" w:space="0" w:color="auto"/>
                        <w:right w:val="none" w:sz="0" w:space="0" w:color="auto"/>
                      </w:divBdr>
                      <w:divsChild>
                        <w:div w:id="136321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68764">
              <w:marLeft w:val="0"/>
              <w:marRight w:val="0"/>
              <w:marTop w:val="0"/>
              <w:marBottom w:val="0"/>
              <w:divBdr>
                <w:top w:val="none" w:sz="0" w:space="0" w:color="auto"/>
                <w:left w:val="none" w:sz="0" w:space="0" w:color="auto"/>
                <w:bottom w:val="none" w:sz="0" w:space="0" w:color="auto"/>
                <w:right w:val="none" w:sz="0" w:space="0" w:color="auto"/>
              </w:divBdr>
            </w:div>
          </w:divsChild>
        </w:div>
        <w:div w:id="229466416">
          <w:marLeft w:val="0"/>
          <w:marRight w:val="0"/>
          <w:marTop w:val="0"/>
          <w:marBottom w:val="0"/>
          <w:divBdr>
            <w:top w:val="none" w:sz="0" w:space="0" w:color="auto"/>
            <w:left w:val="none" w:sz="0" w:space="0" w:color="auto"/>
            <w:bottom w:val="none" w:sz="0" w:space="0" w:color="auto"/>
            <w:right w:val="none" w:sz="0" w:space="0" w:color="auto"/>
          </w:divBdr>
          <w:divsChild>
            <w:div w:id="1673217286">
              <w:marLeft w:val="0"/>
              <w:marRight w:val="0"/>
              <w:marTop w:val="0"/>
              <w:marBottom w:val="0"/>
              <w:divBdr>
                <w:top w:val="none" w:sz="0" w:space="0" w:color="auto"/>
                <w:left w:val="none" w:sz="0" w:space="0" w:color="auto"/>
                <w:bottom w:val="none" w:sz="0" w:space="0" w:color="auto"/>
                <w:right w:val="none" w:sz="0" w:space="0" w:color="auto"/>
              </w:divBdr>
            </w:div>
          </w:divsChild>
        </w:div>
        <w:div w:id="1072847942">
          <w:marLeft w:val="0"/>
          <w:marRight w:val="0"/>
          <w:marTop w:val="0"/>
          <w:marBottom w:val="0"/>
          <w:divBdr>
            <w:top w:val="none" w:sz="0" w:space="0" w:color="auto"/>
            <w:left w:val="none" w:sz="0" w:space="0" w:color="auto"/>
            <w:bottom w:val="none" w:sz="0" w:space="0" w:color="auto"/>
            <w:right w:val="none" w:sz="0" w:space="0" w:color="auto"/>
          </w:divBdr>
          <w:divsChild>
            <w:div w:id="188572394">
              <w:marLeft w:val="0"/>
              <w:marRight w:val="0"/>
              <w:marTop w:val="0"/>
              <w:marBottom w:val="0"/>
              <w:divBdr>
                <w:top w:val="none" w:sz="0" w:space="0" w:color="auto"/>
                <w:left w:val="none" w:sz="0" w:space="0" w:color="auto"/>
                <w:bottom w:val="none" w:sz="0" w:space="0" w:color="auto"/>
                <w:right w:val="none" w:sz="0" w:space="0" w:color="auto"/>
              </w:divBdr>
            </w:div>
          </w:divsChild>
        </w:div>
        <w:div w:id="744451575">
          <w:marLeft w:val="0"/>
          <w:marRight w:val="0"/>
          <w:marTop w:val="0"/>
          <w:marBottom w:val="0"/>
          <w:divBdr>
            <w:top w:val="none" w:sz="0" w:space="0" w:color="auto"/>
            <w:left w:val="none" w:sz="0" w:space="0" w:color="auto"/>
            <w:bottom w:val="none" w:sz="0" w:space="0" w:color="auto"/>
            <w:right w:val="none" w:sz="0" w:space="0" w:color="auto"/>
          </w:divBdr>
          <w:divsChild>
            <w:div w:id="1355964122">
              <w:marLeft w:val="0"/>
              <w:marRight w:val="0"/>
              <w:marTop w:val="0"/>
              <w:marBottom w:val="0"/>
              <w:divBdr>
                <w:top w:val="none" w:sz="0" w:space="0" w:color="auto"/>
                <w:left w:val="none" w:sz="0" w:space="0" w:color="auto"/>
                <w:bottom w:val="none" w:sz="0" w:space="0" w:color="auto"/>
                <w:right w:val="none" w:sz="0" w:space="0" w:color="auto"/>
              </w:divBdr>
              <w:divsChild>
                <w:div w:id="1561207285">
                  <w:marLeft w:val="0"/>
                  <w:marRight w:val="0"/>
                  <w:marTop w:val="30"/>
                  <w:marBottom w:val="30"/>
                  <w:divBdr>
                    <w:top w:val="none" w:sz="0" w:space="0" w:color="auto"/>
                    <w:left w:val="none" w:sz="0" w:space="0" w:color="auto"/>
                    <w:bottom w:val="none" w:sz="0" w:space="0" w:color="auto"/>
                    <w:right w:val="none" w:sz="0" w:space="0" w:color="auto"/>
                  </w:divBdr>
                  <w:divsChild>
                    <w:div w:id="1457138621">
                      <w:marLeft w:val="0"/>
                      <w:marRight w:val="0"/>
                      <w:marTop w:val="0"/>
                      <w:marBottom w:val="0"/>
                      <w:divBdr>
                        <w:top w:val="none" w:sz="0" w:space="0" w:color="auto"/>
                        <w:left w:val="none" w:sz="0" w:space="0" w:color="auto"/>
                        <w:bottom w:val="none" w:sz="0" w:space="0" w:color="auto"/>
                        <w:right w:val="none" w:sz="0" w:space="0" w:color="auto"/>
                      </w:divBdr>
                      <w:divsChild>
                        <w:div w:id="388529159">
                          <w:marLeft w:val="0"/>
                          <w:marRight w:val="0"/>
                          <w:marTop w:val="0"/>
                          <w:marBottom w:val="0"/>
                          <w:divBdr>
                            <w:top w:val="none" w:sz="0" w:space="0" w:color="auto"/>
                            <w:left w:val="none" w:sz="0" w:space="0" w:color="auto"/>
                            <w:bottom w:val="none" w:sz="0" w:space="0" w:color="auto"/>
                            <w:right w:val="none" w:sz="0" w:space="0" w:color="auto"/>
                          </w:divBdr>
                        </w:div>
                      </w:divsChild>
                    </w:div>
                    <w:div w:id="225606819">
                      <w:marLeft w:val="0"/>
                      <w:marRight w:val="0"/>
                      <w:marTop w:val="0"/>
                      <w:marBottom w:val="0"/>
                      <w:divBdr>
                        <w:top w:val="none" w:sz="0" w:space="0" w:color="auto"/>
                        <w:left w:val="none" w:sz="0" w:space="0" w:color="auto"/>
                        <w:bottom w:val="none" w:sz="0" w:space="0" w:color="auto"/>
                        <w:right w:val="none" w:sz="0" w:space="0" w:color="auto"/>
                      </w:divBdr>
                      <w:divsChild>
                        <w:div w:id="1959989873">
                          <w:marLeft w:val="0"/>
                          <w:marRight w:val="0"/>
                          <w:marTop w:val="0"/>
                          <w:marBottom w:val="0"/>
                          <w:divBdr>
                            <w:top w:val="none" w:sz="0" w:space="0" w:color="auto"/>
                            <w:left w:val="none" w:sz="0" w:space="0" w:color="auto"/>
                            <w:bottom w:val="none" w:sz="0" w:space="0" w:color="auto"/>
                            <w:right w:val="none" w:sz="0" w:space="0" w:color="auto"/>
                          </w:divBdr>
                        </w:div>
                      </w:divsChild>
                    </w:div>
                    <w:div w:id="1471442571">
                      <w:marLeft w:val="0"/>
                      <w:marRight w:val="0"/>
                      <w:marTop w:val="0"/>
                      <w:marBottom w:val="0"/>
                      <w:divBdr>
                        <w:top w:val="none" w:sz="0" w:space="0" w:color="auto"/>
                        <w:left w:val="none" w:sz="0" w:space="0" w:color="auto"/>
                        <w:bottom w:val="none" w:sz="0" w:space="0" w:color="auto"/>
                        <w:right w:val="none" w:sz="0" w:space="0" w:color="auto"/>
                      </w:divBdr>
                      <w:divsChild>
                        <w:div w:id="723719795">
                          <w:marLeft w:val="0"/>
                          <w:marRight w:val="0"/>
                          <w:marTop w:val="0"/>
                          <w:marBottom w:val="0"/>
                          <w:divBdr>
                            <w:top w:val="none" w:sz="0" w:space="0" w:color="auto"/>
                            <w:left w:val="none" w:sz="0" w:space="0" w:color="auto"/>
                            <w:bottom w:val="none" w:sz="0" w:space="0" w:color="auto"/>
                            <w:right w:val="none" w:sz="0" w:space="0" w:color="auto"/>
                          </w:divBdr>
                        </w:div>
                      </w:divsChild>
                    </w:div>
                    <w:div w:id="1963462192">
                      <w:marLeft w:val="0"/>
                      <w:marRight w:val="0"/>
                      <w:marTop w:val="0"/>
                      <w:marBottom w:val="0"/>
                      <w:divBdr>
                        <w:top w:val="none" w:sz="0" w:space="0" w:color="auto"/>
                        <w:left w:val="none" w:sz="0" w:space="0" w:color="auto"/>
                        <w:bottom w:val="none" w:sz="0" w:space="0" w:color="auto"/>
                        <w:right w:val="none" w:sz="0" w:space="0" w:color="auto"/>
                      </w:divBdr>
                      <w:divsChild>
                        <w:div w:id="1746299227">
                          <w:marLeft w:val="0"/>
                          <w:marRight w:val="0"/>
                          <w:marTop w:val="0"/>
                          <w:marBottom w:val="0"/>
                          <w:divBdr>
                            <w:top w:val="none" w:sz="0" w:space="0" w:color="auto"/>
                            <w:left w:val="none" w:sz="0" w:space="0" w:color="auto"/>
                            <w:bottom w:val="none" w:sz="0" w:space="0" w:color="auto"/>
                            <w:right w:val="none" w:sz="0" w:space="0" w:color="auto"/>
                          </w:divBdr>
                        </w:div>
                      </w:divsChild>
                    </w:div>
                    <w:div w:id="1851990227">
                      <w:marLeft w:val="0"/>
                      <w:marRight w:val="0"/>
                      <w:marTop w:val="0"/>
                      <w:marBottom w:val="0"/>
                      <w:divBdr>
                        <w:top w:val="none" w:sz="0" w:space="0" w:color="auto"/>
                        <w:left w:val="none" w:sz="0" w:space="0" w:color="auto"/>
                        <w:bottom w:val="none" w:sz="0" w:space="0" w:color="auto"/>
                        <w:right w:val="none" w:sz="0" w:space="0" w:color="auto"/>
                      </w:divBdr>
                      <w:divsChild>
                        <w:div w:id="1669403215">
                          <w:marLeft w:val="0"/>
                          <w:marRight w:val="0"/>
                          <w:marTop w:val="0"/>
                          <w:marBottom w:val="0"/>
                          <w:divBdr>
                            <w:top w:val="none" w:sz="0" w:space="0" w:color="auto"/>
                            <w:left w:val="none" w:sz="0" w:space="0" w:color="auto"/>
                            <w:bottom w:val="none" w:sz="0" w:space="0" w:color="auto"/>
                            <w:right w:val="none" w:sz="0" w:space="0" w:color="auto"/>
                          </w:divBdr>
                        </w:div>
                      </w:divsChild>
                    </w:div>
                    <w:div w:id="1695687169">
                      <w:marLeft w:val="0"/>
                      <w:marRight w:val="0"/>
                      <w:marTop w:val="0"/>
                      <w:marBottom w:val="0"/>
                      <w:divBdr>
                        <w:top w:val="none" w:sz="0" w:space="0" w:color="auto"/>
                        <w:left w:val="none" w:sz="0" w:space="0" w:color="auto"/>
                        <w:bottom w:val="none" w:sz="0" w:space="0" w:color="auto"/>
                        <w:right w:val="none" w:sz="0" w:space="0" w:color="auto"/>
                      </w:divBdr>
                      <w:divsChild>
                        <w:div w:id="1596285594">
                          <w:marLeft w:val="0"/>
                          <w:marRight w:val="0"/>
                          <w:marTop w:val="0"/>
                          <w:marBottom w:val="0"/>
                          <w:divBdr>
                            <w:top w:val="none" w:sz="0" w:space="0" w:color="auto"/>
                            <w:left w:val="none" w:sz="0" w:space="0" w:color="auto"/>
                            <w:bottom w:val="none" w:sz="0" w:space="0" w:color="auto"/>
                            <w:right w:val="none" w:sz="0" w:space="0" w:color="auto"/>
                          </w:divBdr>
                        </w:div>
                      </w:divsChild>
                    </w:div>
                    <w:div w:id="1852403622">
                      <w:marLeft w:val="0"/>
                      <w:marRight w:val="0"/>
                      <w:marTop w:val="0"/>
                      <w:marBottom w:val="0"/>
                      <w:divBdr>
                        <w:top w:val="none" w:sz="0" w:space="0" w:color="auto"/>
                        <w:left w:val="none" w:sz="0" w:space="0" w:color="auto"/>
                        <w:bottom w:val="none" w:sz="0" w:space="0" w:color="auto"/>
                        <w:right w:val="none" w:sz="0" w:space="0" w:color="auto"/>
                      </w:divBdr>
                      <w:divsChild>
                        <w:div w:id="486440792">
                          <w:marLeft w:val="0"/>
                          <w:marRight w:val="0"/>
                          <w:marTop w:val="0"/>
                          <w:marBottom w:val="0"/>
                          <w:divBdr>
                            <w:top w:val="none" w:sz="0" w:space="0" w:color="auto"/>
                            <w:left w:val="none" w:sz="0" w:space="0" w:color="auto"/>
                            <w:bottom w:val="none" w:sz="0" w:space="0" w:color="auto"/>
                            <w:right w:val="none" w:sz="0" w:space="0" w:color="auto"/>
                          </w:divBdr>
                        </w:div>
                      </w:divsChild>
                    </w:div>
                    <w:div w:id="1982810978">
                      <w:marLeft w:val="0"/>
                      <w:marRight w:val="0"/>
                      <w:marTop w:val="0"/>
                      <w:marBottom w:val="0"/>
                      <w:divBdr>
                        <w:top w:val="none" w:sz="0" w:space="0" w:color="auto"/>
                        <w:left w:val="none" w:sz="0" w:space="0" w:color="auto"/>
                        <w:bottom w:val="none" w:sz="0" w:space="0" w:color="auto"/>
                        <w:right w:val="none" w:sz="0" w:space="0" w:color="auto"/>
                      </w:divBdr>
                      <w:divsChild>
                        <w:div w:id="1773738492">
                          <w:marLeft w:val="0"/>
                          <w:marRight w:val="0"/>
                          <w:marTop w:val="0"/>
                          <w:marBottom w:val="0"/>
                          <w:divBdr>
                            <w:top w:val="none" w:sz="0" w:space="0" w:color="auto"/>
                            <w:left w:val="none" w:sz="0" w:space="0" w:color="auto"/>
                            <w:bottom w:val="none" w:sz="0" w:space="0" w:color="auto"/>
                            <w:right w:val="none" w:sz="0" w:space="0" w:color="auto"/>
                          </w:divBdr>
                        </w:div>
                      </w:divsChild>
                    </w:div>
                    <w:div w:id="1760176538">
                      <w:marLeft w:val="0"/>
                      <w:marRight w:val="0"/>
                      <w:marTop w:val="0"/>
                      <w:marBottom w:val="0"/>
                      <w:divBdr>
                        <w:top w:val="none" w:sz="0" w:space="0" w:color="auto"/>
                        <w:left w:val="none" w:sz="0" w:space="0" w:color="auto"/>
                        <w:bottom w:val="none" w:sz="0" w:space="0" w:color="auto"/>
                        <w:right w:val="none" w:sz="0" w:space="0" w:color="auto"/>
                      </w:divBdr>
                      <w:divsChild>
                        <w:div w:id="2732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01194">
              <w:marLeft w:val="0"/>
              <w:marRight w:val="0"/>
              <w:marTop w:val="0"/>
              <w:marBottom w:val="0"/>
              <w:divBdr>
                <w:top w:val="none" w:sz="0" w:space="0" w:color="auto"/>
                <w:left w:val="none" w:sz="0" w:space="0" w:color="auto"/>
                <w:bottom w:val="none" w:sz="0" w:space="0" w:color="auto"/>
                <w:right w:val="none" w:sz="0" w:space="0" w:color="auto"/>
              </w:divBdr>
            </w:div>
          </w:divsChild>
        </w:div>
        <w:div w:id="2106415851">
          <w:marLeft w:val="0"/>
          <w:marRight w:val="0"/>
          <w:marTop w:val="0"/>
          <w:marBottom w:val="0"/>
          <w:divBdr>
            <w:top w:val="none" w:sz="0" w:space="0" w:color="auto"/>
            <w:left w:val="none" w:sz="0" w:space="0" w:color="auto"/>
            <w:bottom w:val="none" w:sz="0" w:space="0" w:color="auto"/>
            <w:right w:val="none" w:sz="0" w:space="0" w:color="auto"/>
          </w:divBdr>
          <w:divsChild>
            <w:div w:id="13496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621">
      <w:bodyDiv w:val="1"/>
      <w:marLeft w:val="0"/>
      <w:marRight w:val="0"/>
      <w:marTop w:val="0"/>
      <w:marBottom w:val="0"/>
      <w:divBdr>
        <w:top w:val="none" w:sz="0" w:space="0" w:color="auto"/>
        <w:left w:val="none" w:sz="0" w:space="0" w:color="auto"/>
        <w:bottom w:val="none" w:sz="0" w:space="0" w:color="auto"/>
        <w:right w:val="none" w:sz="0" w:space="0" w:color="auto"/>
      </w:divBdr>
    </w:div>
    <w:div w:id="1366641669">
      <w:bodyDiv w:val="1"/>
      <w:marLeft w:val="0"/>
      <w:marRight w:val="0"/>
      <w:marTop w:val="0"/>
      <w:marBottom w:val="0"/>
      <w:divBdr>
        <w:top w:val="none" w:sz="0" w:space="0" w:color="auto"/>
        <w:left w:val="none" w:sz="0" w:space="0" w:color="auto"/>
        <w:bottom w:val="none" w:sz="0" w:space="0" w:color="auto"/>
        <w:right w:val="none" w:sz="0" w:space="0" w:color="auto"/>
      </w:divBdr>
    </w:div>
    <w:div w:id="1410075965">
      <w:bodyDiv w:val="1"/>
      <w:marLeft w:val="0"/>
      <w:marRight w:val="0"/>
      <w:marTop w:val="0"/>
      <w:marBottom w:val="0"/>
      <w:divBdr>
        <w:top w:val="none" w:sz="0" w:space="0" w:color="auto"/>
        <w:left w:val="none" w:sz="0" w:space="0" w:color="auto"/>
        <w:bottom w:val="none" w:sz="0" w:space="0" w:color="auto"/>
        <w:right w:val="none" w:sz="0" w:space="0" w:color="auto"/>
      </w:divBdr>
    </w:div>
    <w:div w:id="1486900351">
      <w:bodyDiv w:val="1"/>
      <w:marLeft w:val="0"/>
      <w:marRight w:val="0"/>
      <w:marTop w:val="0"/>
      <w:marBottom w:val="0"/>
      <w:divBdr>
        <w:top w:val="none" w:sz="0" w:space="0" w:color="auto"/>
        <w:left w:val="none" w:sz="0" w:space="0" w:color="auto"/>
        <w:bottom w:val="none" w:sz="0" w:space="0" w:color="auto"/>
        <w:right w:val="none" w:sz="0" w:space="0" w:color="auto"/>
      </w:divBdr>
    </w:div>
    <w:div w:id="1511797350">
      <w:bodyDiv w:val="1"/>
      <w:marLeft w:val="0"/>
      <w:marRight w:val="0"/>
      <w:marTop w:val="0"/>
      <w:marBottom w:val="0"/>
      <w:divBdr>
        <w:top w:val="none" w:sz="0" w:space="0" w:color="auto"/>
        <w:left w:val="none" w:sz="0" w:space="0" w:color="auto"/>
        <w:bottom w:val="none" w:sz="0" w:space="0" w:color="auto"/>
        <w:right w:val="none" w:sz="0" w:space="0" w:color="auto"/>
      </w:divBdr>
    </w:div>
    <w:div w:id="1537346901">
      <w:bodyDiv w:val="1"/>
      <w:marLeft w:val="0"/>
      <w:marRight w:val="0"/>
      <w:marTop w:val="0"/>
      <w:marBottom w:val="0"/>
      <w:divBdr>
        <w:top w:val="none" w:sz="0" w:space="0" w:color="auto"/>
        <w:left w:val="none" w:sz="0" w:space="0" w:color="auto"/>
        <w:bottom w:val="none" w:sz="0" w:space="0" w:color="auto"/>
        <w:right w:val="none" w:sz="0" w:space="0" w:color="auto"/>
      </w:divBdr>
    </w:div>
    <w:div w:id="1557397677">
      <w:bodyDiv w:val="1"/>
      <w:marLeft w:val="0"/>
      <w:marRight w:val="0"/>
      <w:marTop w:val="0"/>
      <w:marBottom w:val="0"/>
      <w:divBdr>
        <w:top w:val="none" w:sz="0" w:space="0" w:color="auto"/>
        <w:left w:val="none" w:sz="0" w:space="0" w:color="auto"/>
        <w:bottom w:val="none" w:sz="0" w:space="0" w:color="auto"/>
        <w:right w:val="none" w:sz="0" w:space="0" w:color="auto"/>
      </w:divBdr>
    </w:div>
    <w:div w:id="1568761895">
      <w:bodyDiv w:val="1"/>
      <w:marLeft w:val="0"/>
      <w:marRight w:val="0"/>
      <w:marTop w:val="0"/>
      <w:marBottom w:val="0"/>
      <w:divBdr>
        <w:top w:val="none" w:sz="0" w:space="0" w:color="auto"/>
        <w:left w:val="none" w:sz="0" w:space="0" w:color="auto"/>
        <w:bottom w:val="none" w:sz="0" w:space="0" w:color="auto"/>
        <w:right w:val="none" w:sz="0" w:space="0" w:color="auto"/>
      </w:divBdr>
    </w:div>
    <w:div w:id="1597523233">
      <w:bodyDiv w:val="1"/>
      <w:marLeft w:val="0"/>
      <w:marRight w:val="0"/>
      <w:marTop w:val="0"/>
      <w:marBottom w:val="0"/>
      <w:divBdr>
        <w:top w:val="none" w:sz="0" w:space="0" w:color="auto"/>
        <w:left w:val="none" w:sz="0" w:space="0" w:color="auto"/>
        <w:bottom w:val="none" w:sz="0" w:space="0" w:color="auto"/>
        <w:right w:val="none" w:sz="0" w:space="0" w:color="auto"/>
      </w:divBdr>
      <w:divsChild>
        <w:div w:id="225651882">
          <w:marLeft w:val="0"/>
          <w:marRight w:val="0"/>
          <w:marTop w:val="0"/>
          <w:marBottom w:val="0"/>
          <w:divBdr>
            <w:top w:val="none" w:sz="0" w:space="0" w:color="auto"/>
            <w:left w:val="none" w:sz="0" w:space="0" w:color="auto"/>
            <w:bottom w:val="none" w:sz="0" w:space="0" w:color="auto"/>
            <w:right w:val="none" w:sz="0" w:space="0" w:color="auto"/>
          </w:divBdr>
          <w:divsChild>
            <w:div w:id="1051222874">
              <w:marLeft w:val="0"/>
              <w:marRight w:val="0"/>
              <w:marTop w:val="0"/>
              <w:marBottom w:val="0"/>
              <w:divBdr>
                <w:top w:val="none" w:sz="0" w:space="0" w:color="auto"/>
                <w:left w:val="none" w:sz="0" w:space="0" w:color="auto"/>
                <w:bottom w:val="none" w:sz="0" w:space="0" w:color="auto"/>
                <w:right w:val="none" w:sz="0" w:space="0" w:color="auto"/>
              </w:divBdr>
            </w:div>
          </w:divsChild>
        </w:div>
        <w:div w:id="593435192">
          <w:marLeft w:val="0"/>
          <w:marRight w:val="0"/>
          <w:marTop w:val="0"/>
          <w:marBottom w:val="0"/>
          <w:divBdr>
            <w:top w:val="none" w:sz="0" w:space="0" w:color="auto"/>
            <w:left w:val="none" w:sz="0" w:space="0" w:color="auto"/>
            <w:bottom w:val="none" w:sz="0" w:space="0" w:color="auto"/>
            <w:right w:val="none" w:sz="0" w:space="0" w:color="auto"/>
          </w:divBdr>
          <w:divsChild>
            <w:div w:id="21983437">
              <w:marLeft w:val="0"/>
              <w:marRight w:val="0"/>
              <w:marTop w:val="0"/>
              <w:marBottom w:val="0"/>
              <w:divBdr>
                <w:top w:val="none" w:sz="0" w:space="0" w:color="auto"/>
                <w:left w:val="none" w:sz="0" w:space="0" w:color="auto"/>
                <w:bottom w:val="none" w:sz="0" w:space="0" w:color="auto"/>
                <w:right w:val="none" w:sz="0" w:space="0" w:color="auto"/>
              </w:divBdr>
            </w:div>
          </w:divsChild>
        </w:div>
        <w:div w:id="489178754">
          <w:marLeft w:val="0"/>
          <w:marRight w:val="0"/>
          <w:marTop w:val="0"/>
          <w:marBottom w:val="0"/>
          <w:divBdr>
            <w:top w:val="none" w:sz="0" w:space="0" w:color="auto"/>
            <w:left w:val="none" w:sz="0" w:space="0" w:color="auto"/>
            <w:bottom w:val="none" w:sz="0" w:space="0" w:color="auto"/>
            <w:right w:val="none" w:sz="0" w:space="0" w:color="auto"/>
          </w:divBdr>
          <w:divsChild>
            <w:div w:id="1801996759">
              <w:marLeft w:val="0"/>
              <w:marRight w:val="0"/>
              <w:marTop w:val="0"/>
              <w:marBottom w:val="0"/>
              <w:divBdr>
                <w:top w:val="none" w:sz="0" w:space="0" w:color="auto"/>
                <w:left w:val="none" w:sz="0" w:space="0" w:color="auto"/>
                <w:bottom w:val="none" w:sz="0" w:space="0" w:color="auto"/>
                <w:right w:val="none" w:sz="0" w:space="0" w:color="auto"/>
              </w:divBdr>
            </w:div>
            <w:div w:id="1207987121">
              <w:marLeft w:val="0"/>
              <w:marRight w:val="0"/>
              <w:marTop w:val="0"/>
              <w:marBottom w:val="0"/>
              <w:divBdr>
                <w:top w:val="none" w:sz="0" w:space="0" w:color="auto"/>
                <w:left w:val="none" w:sz="0" w:space="0" w:color="auto"/>
                <w:bottom w:val="none" w:sz="0" w:space="0" w:color="auto"/>
                <w:right w:val="none" w:sz="0" w:space="0" w:color="auto"/>
              </w:divBdr>
            </w:div>
          </w:divsChild>
        </w:div>
        <w:div w:id="1533377703">
          <w:marLeft w:val="0"/>
          <w:marRight w:val="0"/>
          <w:marTop w:val="0"/>
          <w:marBottom w:val="0"/>
          <w:divBdr>
            <w:top w:val="none" w:sz="0" w:space="0" w:color="auto"/>
            <w:left w:val="none" w:sz="0" w:space="0" w:color="auto"/>
            <w:bottom w:val="none" w:sz="0" w:space="0" w:color="auto"/>
            <w:right w:val="none" w:sz="0" w:space="0" w:color="auto"/>
          </w:divBdr>
          <w:divsChild>
            <w:div w:id="398283423">
              <w:marLeft w:val="0"/>
              <w:marRight w:val="0"/>
              <w:marTop w:val="0"/>
              <w:marBottom w:val="0"/>
              <w:divBdr>
                <w:top w:val="none" w:sz="0" w:space="0" w:color="auto"/>
                <w:left w:val="none" w:sz="0" w:space="0" w:color="auto"/>
                <w:bottom w:val="none" w:sz="0" w:space="0" w:color="auto"/>
                <w:right w:val="none" w:sz="0" w:space="0" w:color="auto"/>
              </w:divBdr>
            </w:div>
            <w:div w:id="1199782778">
              <w:marLeft w:val="0"/>
              <w:marRight w:val="0"/>
              <w:marTop w:val="0"/>
              <w:marBottom w:val="0"/>
              <w:divBdr>
                <w:top w:val="none" w:sz="0" w:space="0" w:color="auto"/>
                <w:left w:val="none" w:sz="0" w:space="0" w:color="auto"/>
                <w:bottom w:val="none" w:sz="0" w:space="0" w:color="auto"/>
                <w:right w:val="none" w:sz="0" w:space="0" w:color="auto"/>
              </w:divBdr>
            </w:div>
          </w:divsChild>
        </w:div>
        <w:div w:id="532501116">
          <w:marLeft w:val="0"/>
          <w:marRight w:val="0"/>
          <w:marTop w:val="0"/>
          <w:marBottom w:val="0"/>
          <w:divBdr>
            <w:top w:val="none" w:sz="0" w:space="0" w:color="auto"/>
            <w:left w:val="none" w:sz="0" w:space="0" w:color="auto"/>
            <w:bottom w:val="none" w:sz="0" w:space="0" w:color="auto"/>
            <w:right w:val="none" w:sz="0" w:space="0" w:color="auto"/>
          </w:divBdr>
          <w:divsChild>
            <w:div w:id="788357194">
              <w:marLeft w:val="0"/>
              <w:marRight w:val="0"/>
              <w:marTop w:val="0"/>
              <w:marBottom w:val="0"/>
              <w:divBdr>
                <w:top w:val="none" w:sz="0" w:space="0" w:color="auto"/>
                <w:left w:val="none" w:sz="0" w:space="0" w:color="auto"/>
                <w:bottom w:val="none" w:sz="0" w:space="0" w:color="auto"/>
                <w:right w:val="none" w:sz="0" w:space="0" w:color="auto"/>
              </w:divBdr>
            </w:div>
          </w:divsChild>
        </w:div>
        <w:div w:id="2097970115">
          <w:marLeft w:val="0"/>
          <w:marRight w:val="0"/>
          <w:marTop w:val="0"/>
          <w:marBottom w:val="0"/>
          <w:divBdr>
            <w:top w:val="none" w:sz="0" w:space="0" w:color="auto"/>
            <w:left w:val="none" w:sz="0" w:space="0" w:color="auto"/>
            <w:bottom w:val="none" w:sz="0" w:space="0" w:color="auto"/>
            <w:right w:val="none" w:sz="0" w:space="0" w:color="auto"/>
          </w:divBdr>
          <w:divsChild>
            <w:div w:id="2017148482">
              <w:marLeft w:val="0"/>
              <w:marRight w:val="0"/>
              <w:marTop w:val="0"/>
              <w:marBottom w:val="0"/>
              <w:divBdr>
                <w:top w:val="none" w:sz="0" w:space="0" w:color="auto"/>
                <w:left w:val="none" w:sz="0" w:space="0" w:color="auto"/>
                <w:bottom w:val="none" w:sz="0" w:space="0" w:color="auto"/>
                <w:right w:val="none" w:sz="0" w:space="0" w:color="auto"/>
              </w:divBdr>
            </w:div>
          </w:divsChild>
        </w:div>
        <w:div w:id="311250300">
          <w:marLeft w:val="0"/>
          <w:marRight w:val="0"/>
          <w:marTop w:val="0"/>
          <w:marBottom w:val="0"/>
          <w:divBdr>
            <w:top w:val="none" w:sz="0" w:space="0" w:color="auto"/>
            <w:left w:val="none" w:sz="0" w:space="0" w:color="auto"/>
            <w:bottom w:val="none" w:sz="0" w:space="0" w:color="auto"/>
            <w:right w:val="none" w:sz="0" w:space="0" w:color="auto"/>
          </w:divBdr>
          <w:divsChild>
            <w:div w:id="608896213">
              <w:marLeft w:val="0"/>
              <w:marRight w:val="0"/>
              <w:marTop w:val="0"/>
              <w:marBottom w:val="0"/>
              <w:divBdr>
                <w:top w:val="none" w:sz="0" w:space="0" w:color="auto"/>
                <w:left w:val="none" w:sz="0" w:space="0" w:color="auto"/>
                <w:bottom w:val="none" w:sz="0" w:space="0" w:color="auto"/>
                <w:right w:val="none" w:sz="0" w:space="0" w:color="auto"/>
              </w:divBdr>
            </w:div>
            <w:div w:id="2068992273">
              <w:marLeft w:val="0"/>
              <w:marRight w:val="0"/>
              <w:marTop w:val="0"/>
              <w:marBottom w:val="0"/>
              <w:divBdr>
                <w:top w:val="none" w:sz="0" w:space="0" w:color="auto"/>
                <w:left w:val="none" w:sz="0" w:space="0" w:color="auto"/>
                <w:bottom w:val="none" w:sz="0" w:space="0" w:color="auto"/>
                <w:right w:val="none" w:sz="0" w:space="0" w:color="auto"/>
              </w:divBdr>
            </w:div>
          </w:divsChild>
        </w:div>
        <w:div w:id="1332947546">
          <w:marLeft w:val="0"/>
          <w:marRight w:val="0"/>
          <w:marTop w:val="0"/>
          <w:marBottom w:val="0"/>
          <w:divBdr>
            <w:top w:val="none" w:sz="0" w:space="0" w:color="auto"/>
            <w:left w:val="none" w:sz="0" w:space="0" w:color="auto"/>
            <w:bottom w:val="none" w:sz="0" w:space="0" w:color="auto"/>
            <w:right w:val="none" w:sz="0" w:space="0" w:color="auto"/>
          </w:divBdr>
          <w:divsChild>
            <w:div w:id="683291941">
              <w:marLeft w:val="0"/>
              <w:marRight w:val="0"/>
              <w:marTop w:val="0"/>
              <w:marBottom w:val="0"/>
              <w:divBdr>
                <w:top w:val="none" w:sz="0" w:space="0" w:color="auto"/>
                <w:left w:val="none" w:sz="0" w:space="0" w:color="auto"/>
                <w:bottom w:val="none" w:sz="0" w:space="0" w:color="auto"/>
                <w:right w:val="none" w:sz="0" w:space="0" w:color="auto"/>
              </w:divBdr>
            </w:div>
            <w:div w:id="1935286073">
              <w:marLeft w:val="0"/>
              <w:marRight w:val="0"/>
              <w:marTop w:val="0"/>
              <w:marBottom w:val="0"/>
              <w:divBdr>
                <w:top w:val="none" w:sz="0" w:space="0" w:color="auto"/>
                <w:left w:val="none" w:sz="0" w:space="0" w:color="auto"/>
                <w:bottom w:val="none" w:sz="0" w:space="0" w:color="auto"/>
                <w:right w:val="none" w:sz="0" w:space="0" w:color="auto"/>
              </w:divBdr>
            </w:div>
          </w:divsChild>
        </w:div>
        <w:div w:id="958149919">
          <w:marLeft w:val="0"/>
          <w:marRight w:val="0"/>
          <w:marTop w:val="0"/>
          <w:marBottom w:val="0"/>
          <w:divBdr>
            <w:top w:val="none" w:sz="0" w:space="0" w:color="auto"/>
            <w:left w:val="none" w:sz="0" w:space="0" w:color="auto"/>
            <w:bottom w:val="none" w:sz="0" w:space="0" w:color="auto"/>
            <w:right w:val="none" w:sz="0" w:space="0" w:color="auto"/>
          </w:divBdr>
          <w:divsChild>
            <w:div w:id="1162818165">
              <w:marLeft w:val="0"/>
              <w:marRight w:val="0"/>
              <w:marTop w:val="0"/>
              <w:marBottom w:val="0"/>
              <w:divBdr>
                <w:top w:val="none" w:sz="0" w:space="0" w:color="auto"/>
                <w:left w:val="none" w:sz="0" w:space="0" w:color="auto"/>
                <w:bottom w:val="none" w:sz="0" w:space="0" w:color="auto"/>
                <w:right w:val="none" w:sz="0" w:space="0" w:color="auto"/>
              </w:divBdr>
            </w:div>
          </w:divsChild>
        </w:div>
        <w:div w:id="1335448945">
          <w:marLeft w:val="0"/>
          <w:marRight w:val="0"/>
          <w:marTop w:val="0"/>
          <w:marBottom w:val="0"/>
          <w:divBdr>
            <w:top w:val="none" w:sz="0" w:space="0" w:color="auto"/>
            <w:left w:val="none" w:sz="0" w:space="0" w:color="auto"/>
            <w:bottom w:val="none" w:sz="0" w:space="0" w:color="auto"/>
            <w:right w:val="none" w:sz="0" w:space="0" w:color="auto"/>
          </w:divBdr>
          <w:divsChild>
            <w:div w:id="1965040586">
              <w:marLeft w:val="0"/>
              <w:marRight w:val="0"/>
              <w:marTop w:val="0"/>
              <w:marBottom w:val="0"/>
              <w:divBdr>
                <w:top w:val="none" w:sz="0" w:space="0" w:color="auto"/>
                <w:left w:val="none" w:sz="0" w:space="0" w:color="auto"/>
                <w:bottom w:val="none" w:sz="0" w:space="0" w:color="auto"/>
                <w:right w:val="none" w:sz="0" w:space="0" w:color="auto"/>
              </w:divBdr>
            </w:div>
            <w:div w:id="562834794">
              <w:marLeft w:val="0"/>
              <w:marRight w:val="0"/>
              <w:marTop w:val="0"/>
              <w:marBottom w:val="0"/>
              <w:divBdr>
                <w:top w:val="none" w:sz="0" w:space="0" w:color="auto"/>
                <w:left w:val="none" w:sz="0" w:space="0" w:color="auto"/>
                <w:bottom w:val="none" w:sz="0" w:space="0" w:color="auto"/>
                <w:right w:val="none" w:sz="0" w:space="0" w:color="auto"/>
              </w:divBdr>
            </w:div>
          </w:divsChild>
        </w:div>
        <w:div w:id="1150754826">
          <w:marLeft w:val="0"/>
          <w:marRight w:val="0"/>
          <w:marTop w:val="0"/>
          <w:marBottom w:val="0"/>
          <w:divBdr>
            <w:top w:val="none" w:sz="0" w:space="0" w:color="auto"/>
            <w:left w:val="none" w:sz="0" w:space="0" w:color="auto"/>
            <w:bottom w:val="none" w:sz="0" w:space="0" w:color="auto"/>
            <w:right w:val="none" w:sz="0" w:space="0" w:color="auto"/>
          </w:divBdr>
          <w:divsChild>
            <w:div w:id="1748769043">
              <w:marLeft w:val="0"/>
              <w:marRight w:val="0"/>
              <w:marTop w:val="0"/>
              <w:marBottom w:val="0"/>
              <w:divBdr>
                <w:top w:val="none" w:sz="0" w:space="0" w:color="auto"/>
                <w:left w:val="none" w:sz="0" w:space="0" w:color="auto"/>
                <w:bottom w:val="none" w:sz="0" w:space="0" w:color="auto"/>
                <w:right w:val="none" w:sz="0" w:space="0" w:color="auto"/>
              </w:divBdr>
            </w:div>
            <w:div w:id="1952516351">
              <w:marLeft w:val="0"/>
              <w:marRight w:val="0"/>
              <w:marTop w:val="0"/>
              <w:marBottom w:val="0"/>
              <w:divBdr>
                <w:top w:val="none" w:sz="0" w:space="0" w:color="auto"/>
                <w:left w:val="none" w:sz="0" w:space="0" w:color="auto"/>
                <w:bottom w:val="none" w:sz="0" w:space="0" w:color="auto"/>
                <w:right w:val="none" w:sz="0" w:space="0" w:color="auto"/>
              </w:divBdr>
            </w:div>
            <w:div w:id="819152743">
              <w:marLeft w:val="0"/>
              <w:marRight w:val="0"/>
              <w:marTop w:val="0"/>
              <w:marBottom w:val="0"/>
              <w:divBdr>
                <w:top w:val="none" w:sz="0" w:space="0" w:color="auto"/>
                <w:left w:val="none" w:sz="0" w:space="0" w:color="auto"/>
                <w:bottom w:val="none" w:sz="0" w:space="0" w:color="auto"/>
                <w:right w:val="none" w:sz="0" w:space="0" w:color="auto"/>
              </w:divBdr>
            </w:div>
          </w:divsChild>
        </w:div>
        <w:div w:id="1032145212">
          <w:marLeft w:val="0"/>
          <w:marRight w:val="0"/>
          <w:marTop w:val="0"/>
          <w:marBottom w:val="0"/>
          <w:divBdr>
            <w:top w:val="none" w:sz="0" w:space="0" w:color="auto"/>
            <w:left w:val="none" w:sz="0" w:space="0" w:color="auto"/>
            <w:bottom w:val="none" w:sz="0" w:space="0" w:color="auto"/>
            <w:right w:val="none" w:sz="0" w:space="0" w:color="auto"/>
          </w:divBdr>
          <w:divsChild>
            <w:div w:id="826868241">
              <w:marLeft w:val="0"/>
              <w:marRight w:val="0"/>
              <w:marTop w:val="0"/>
              <w:marBottom w:val="0"/>
              <w:divBdr>
                <w:top w:val="none" w:sz="0" w:space="0" w:color="auto"/>
                <w:left w:val="none" w:sz="0" w:space="0" w:color="auto"/>
                <w:bottom w:val="none" w:sz="0" w:space="0" w:color="auto"/>
                <w:right w:val="none" w:sz="0" w:space="0" w:color="auto"/>
              </w:divBdr>
            </w:div>
          </w:divsChild>
        </w:div>
        <w:div w:id="1261568179">
          <w:marLeft w:val="0"/>
          <w:marRight w:val="0"/>
          <w:marTop w:val="0"/>
          <w:marBottom w:val="0"/>
          <w:divBdr>
            <w:top w:val="none" w:sz="0" w:space="0" w:color="auto"/>
            <w:left w:val="none" w:sz="0" w:space="0" w:color="auto"/>
            <w:bottom w:val="none" w:sz="0" w:space="0" w:color="auto"/>
            <w:right w:val="none" w:sz="0" w:space="0" w:color="auto"/>
          </w:divBdr>
          <w:divsChild>
            <w:div w:id="280189094">
              <w:marLeft w:val="0"/>
              <w:marRight w:val="0"/>
              <w:marTop w:val="0"/>
              <w:marBottom w:val="0"/>
              <w:divBdr>
                <w:top w:val="none" w:sz="0" w:space="0" w:color="auto"/>
                <w:left w:val="none" w:sz="0" w:space="0" w:color="auto"/>
                <w:bottom w:val="none" w:sz="0" w:space="0" w:color="auto"/>
                <w:right w:val="none" w:sz="0" w:space="0" w:color="auto"/>
              </w:divBdr>
            </w:div>
            <w:div w:id="2091460966">
              <w:marLeft w:val="0"/>
              <w:marRight w:val="0"/>
              <w:marTop w:val="0"/>
              <w:marBottom w:val="0"/>
              <w:divBdr>
                <w:top w:val="none" w:sz="0" w:space="0" w:color="auto"/>
                <w:left w:val="none" w:sz="0" w:space="0" w:color="auto"/>
                <w:bottom w:val="none" w:sz="0" w:space="0" w:color="auto"/>
                <w:right w:val="none" w:sz="0" w:space="0" w:color="auto"/>
              </w:divBdr>
            </w:div>
          </w:divsChild>
        </w:div>
        <w:div w:id="2100521537">
          <w:marLeft w:val="0"/>
          <w:marRight w:val="0"/>
          <w:marTop w:val="0"/>
          <w:marBottom w:val="0"/>
          <w:divBdr>
            <w:top w:val="none" w:sz="0" w:space="0" w:color="auto"/>
            <w:left w:val="none" w:sz="0" w:space="0" w:color="auto"/>
            <w:bottom w:val="none" w:sz="0" w:space="0" w:color="auto"/>
            <w:right w:val="none" w:sz="0" w:space="0" w:color="auto"/>
          </w:divBdr>
          <w:divsChild>
            <w:div w:id="1772049894">
              <w:marLeft w:val="0"/>
              <w:marRight w:val="0"/>
              <w:marTop w:val="0"/>
              <w:marBottom w:val="0"/>
              <w:divBdr>
                <w:top w:val="none" w:sz="0" w:space="0" w:color="auto"/>
                <w:left w:val="none" w:sz="0" w:space="0" w:color="auto"/>
                <w:bottom w:val="none" w:sz="0" w:space="0" w:color="auto"/>
                <w:right w:val="none" w:sz="0" w:space="0" w:color="auto"/>
              </w:divBdr>
            </w:div>
          </w:divsChild>
        </w:div>
        <w:div w:id="2058509758">
          <w:marLeft w:val="0"/>
          <w:marRight w:val="0"/>
          <w:marTop w:val="0"/>
          <w:marBottom w:val="0"/>
          <w:divBdr>
            <w:top w:val="none" w:sz="0" w:space="0" w:color="auto"/>
            <w:left w:val="none" w:sz="0" w:space="0" w:color="auto"/>
            <w:bottom w:val="none" w:sz="0" w:space="0" w:color="auto"/>
            <w:right w:val="none" w:sz="0" w:space="0" w:color="auto"/>
          </w:divBdr>
          <w:divsChild>
            <w:div w:id="1420981189">
              <w:marLeft w:val="0"/>
              <w:marRight w:val="0"/>
              <w:marTop w:val="0"/>
              <w:marBottom w:val="0"/>
              <w:divBdr>
                <w:top w:val="none" w:sz="0" w:space="0" w:color="auto"/>
                <w:left w:val="none" w:sz="0" w:space="0" w:color="auto"/>
                <w:bottom w:val="none" w:sz="0" w:space="0" w:color="auto"/>
                <w:right w:val="none" w:sz="0" w:space="0" w:color="auto"/>
              </w:divBdr>
            </w:div>
          </w:divsChild>
        </w:div>
        <w:div w:id="718088258">
          <w:marLeft w:val="0"/>
          <w:marRight w:val="0"/>
          <w:marTop w:val="0"/>
          <w:marBottom w:val="0"/>
          <w:divBdr>
            <w:top w:val="none" w:sz="0" w:space="0" w:color="auto"/>
            <w:left w:val="none" w:sz="0" w:space="0" w:color="auto"/>
            <w:bottom w:val="none" w:sz="0" w:space="0" w:color="auto"/>
            <w:right w:val="none" w:sz="0" w:space="0" w:color="auto"/>
          </w:divBdr>
          <w:divsChild>
            <w:div w:id="1749032166">
              <w:marLeft w:val="0"/>
              <w:marRight w:val="0"/>
              <w:marTop w:val="0"/>
              <w:marBottom w:val="0"/>
              <w:divBdr>
                <w:top w:val="none" w:sz="0" w:space="0" w:color="auto"/>
                <w:left w:val="none" w:sz="0" w:space="0" w:color="auto"/>
                <w:bottom w:val="none" w:sz="0" w:space="0" w:color="auto"/>
                <w:right w:val="none" w:sz="0" w:space="0" w:color="auto"/>
              </w:divBdr>
            </w:div>
          </w:divsChild>
        </w:div>
        <w:div w:id="928926658">
          <w:marLeft w:val="0"/>
          <w:marRight w:val="0"/>
          <w:marTop w:val="0"/>
          <w:marBottom w:val="0"/>
          <w:divBdr>
            <w:top w:val="none" w:sz="0" w:space="0" w:color="auto"/>
            <w:left w:val="none" w:sz="0" w:space="0" w:color="auto"/>
            <w:bottom w:val="none" w:sz="0" w:space="0" w:color="auto"/>
            <w:right w:val="none" w:sz="0" w:space="0" w:color="auto"/>
          </w:divBdr>
          <w:divsChild>
            <w:div w:id="2147047578">
              <w:marLeft w:val="0"/>
              <w:marRight w:val="0"/>
              <w:marTop w:val="0"/>
              <w:marBottom w:val="0"/>
              <w:divBdr>
                <w:top w:val="none" w:sz="0" w:space="0" w:color="auto"/>
                <w:left w:val="none" w:sz="0" w:space="0" w:color="auto"/>
                <w:bottom w:val="none" w:sz="0" w:space="0" w:color="auto"/>
                <w:right w:val="none" w:sz="0" w:space="0" w:color="auto"/>
              </w:divBdr>
            </w:div>
          </w:divsChild>
        </w:div>
        <w:div w:id="247661018">
          <w:marLeft w:val="0"/>
          <w:marRight w:val="0"/>
          <w:marTop w:val="0"/>
          <w:marBottom w:val="0"/>
          <w:divBdr>
            <w:top w:val="none" w:sz="0" w:space="0" w:color="auto"/>
            <w:left w:val="none" w:sz="0" w:space="0" w:color="auto"/>
            <w:bottom w:val="none" w:sz="0" w:space="0" w:color="auto"/>
            <w:right w:val="none" w:sz="0" w:space="0" w:color="auto"/>
          </w:divBdr>
          <w:divsChild>
            <w:div w:id="588268576">
              <w:marLeft w:val="0"/>
              <w:marRight w:val="0"/>
              <w:marTop w:val="0"/>
              <w:marBottom w:val="0"/>
              <w:divBdr>
                <w:top w:val="none" w:sz="0" w:space="0" w:color="auto"/>
                <w:left w:val="none" w:sz="0" w:space="0" w:color="auto"/>
                <w:bottom w:val="none" w:sz="0" w:space="0" w:color="auto"/>
                <w:right w:val="none" w:sz="0" w:space="0" w:color="auto"/>
              </w:divBdr>
            </w:div>
          </w:divsChild>
        </w:div>
        <w:div w:id="431822359">
          <w:marLeft w:val="0"/>
          <w:marRight w:val="0"/>
          <w:marTop w:val="0"/>
          <w:marBottom w:val="0"/>
          <w:divBdr>
            <w:top w:val="none" w:sz="0" w:space="0" w:color="auto"/>
            <w:left w:val="none" w:sz="0" w:space="0" w:color="auto"/>
            <w:bottom w:val="none" w:sz="0" w:space="0" w:color="auto"/>
            <w:right w:val="none" w:sz="0" w:space="0" w:color="auto"/>
          </w:divBdr>
          <w:divsChild>
            <w:div w:id="154076226">
              <w:marLeft w:val="0"/>
              <w:marRight w:val="0"/>
              <w:marTop w:val="0"/>
              <w:marBottom w:val="0"/>
              <w:divBdr>
                <w:top w:val="none" w:sz="0" w:space="0" w:color="auto"/>
                <w:left w:val="none" w:sz="0" w:space="0" w:color="auto"/>
                <w:bottom w:val="none" w:sz="0" w:space="0" w:color="auto"/>
                <w:right w:val="none" w:sz="0" w:space="0" w:color="auto"/>
              </w:divBdr>
            </w:div>
            <w:div w:id="1654946048">
              <w:marLeft w:val="0"/>
              <w:marRight w:val="0"/>
              <w:marTop w:val="0"/>
              <w:marBottom w:val="0"/>
              <w:divBdr>
                <w:top w:val="none" w:sz="0" w:space="0" w:color="auto"/>
                <w:left w:val="none" w:sz="0" w:space="0" w:color="auto"/>
                <w:bottom w:val="none" w:sz="0" w:space="0" w:color="auto"/>
                <w:right w:val="none" w:sz="0" w:space="0" w:color="auto"/>
              </w:divBdr>
            </w:div>
          </w:divsChild>
        </w:div>
        <w:div w:id="1305506590">
          <w:marLeft w:val="0"/>
          <w:marRight w:val="0"/>
          <w:marTop w:val="0"/>
          <w:marBottom w:val="0"/>
          <w:divBdr>
            <w:top w:val="none" w:sz="0" w:space="0" w:color="auto"/>
            <w:left w:val="none" w:sz="0" w:space="0" w:color="auto"/>
            <w:bottom w:val="none" w:sz="0" w:space="0" w:color="auto"/>
            <w:right w:val="none" w:sz="0" w:space="0" w:color="auto"/>
          </w:divBdr>
          <w:divsChild>
            <w:div w:id="45223638">
              <w:marLeft w:val="0"/>
              <w:marRight w:val="0"/>
              <w:marTop w:val="0"/>
              <w:marBottom w:val="0"/>
              <w:divBdr>
                <w:top w:val="none" w:sz="0" w:space="0" w:color="auto"/>
                <w:left w:val="none" w:sz="0" w:space="0" w:color="auto"/>
                <w:bottom w:val="none" w:sz="0" w:space="0" w:color="auto"/>
                <w:right w:val="none" w:sz="0" w:space="0" w:color="auto"/>
              </w:divBdr>
            </w:div>
            <w:div w:id="874125929">
              <w:marLeft w:val="0"/>
              <w:marRight w:val="0"/>
              <w:marTop w:val="0"/>
              <w:marBottom w:val="0"/>
              <w:divBdr>
                <w:top w:val="none" w:sz="0" w:space="0" w:color="auto"/>
                <w:left w:val="none" w:sz="0" w:space="0" w:color="auto"/>
                <w:bottom w:val="none" w:sz="0" w:space="0" w:color="auto"/>
                <w:right w:val="none" w:sz="0" w:space="0" w:color="auto"/>
              </w:divBdr>
            </w:div>
          </w:divsChild>
        </w:div>
        <w:div w:id="2082671776">
          <w:marLeft w:val="0"/>
          <w:marRight w:val="0"/>
          <w:marTop w:val="0"/>
          <w:marBottom w:val="0"/>
          <w:divBdr>
            <w:top w:val="none" w:sz="0" w:space="0" w:color="auto"/>
            <w:left w:val="none" w:sz="0" w:space="0" w:color="auto"/>
            <w:bottom w:val="none" w:sz="0" w:space="0" w:color="auto"/>
            <w:right w:val="none" w:sz="0" w:space="0" w:color="auto"/>
          </w:divBdr>
          <w:divsChild>
            <w:div w:id="445855180">
              <w:marLeft w:val="0"/>
              <w:marRight w:val="0"/>
              <w:marTop w:val="0"/>
              <w:marBottom w:val="0"/>
              <w:divBdr>
                <w:top w:val="none" w:sz="0" w:space="0" w:color="auto"/>
                <w:left w:val="none" w:sz="0" w:space="0" w:color="auto"/>
                <w:bottom w:val="none" w:sz="0" w:space="0" w:color="auto"/>
                <w:right w:val="none" w:sz="0" w:space="0" w:color="auto"/>
              </w:divBdr>
            </w:div>
          </w:divsChild>
        </w:div>
        <w:div w:id="835875797">
          <w:marLeft w:val="0"/>
          <w:marRight w:val="0"/>
          <w:marTop w:val="0"/>
          <w:marBottom w:val="0"/>
          <w:divBdr>
            <w:top w:val="none" w:sz="0" w:space="0" w:color="auto"/>
            <w:left w:val="none" w:sz="0" w:space="0" w:color="auto"/>
            <w:bottom w:val="none" w:sz="0" w:space="0" w:color="auto"/>
            <w:right w:val="none" w:sz="0" w:space="0" w:color="auto"/>
          </w:divBdr>
          <w:divsChild>
            <w:div w:id="1579094575">
              <w:marLeft w:val="0"/>
              <w:marRight w:val="0"/>
              <w:marTop w:val="0"/>
              <w:marBottom w:val="0"/>
              <w:divBdr>
                <w:top w:val="none" w:sz="0" w:space="0" w:color="auto"/>
                <w:left w:val="none" w:sz="0" w:space="0" w:color="auto"/>
                <w:bottom w:val="none" w:sz="0" w:space="0" w:color="auto"/>
                <w:right w:val="none" w:sz="0" w:space="0" w:color="auto"/>
              </w:divBdr>
            </w:div>
          </w:divsChild>
        </w:div>
        <w:div w:id="397824397">
          <w:marLeft w:val="0"/>
          <w:marRight w:val="0"/>
          <w:marTop w:val="0"/>
          <w:marBottom w:val="0"/>
          <w:divBdr>
            <w:top w:val="none" w:sz="0" w:space="0" w:color="auto"/>
            <w:left w:val="none" w:sz="0" w:space="0" w:color="auto"/>
            <w:bottom w:val="none" w:sz="0" w:space="0" w:color="auto"/>
            <w:right w:val="none" w:sz="0" w:space="0" w:color="auto"/>
          </w:divBdr>
          <w:divsChild>
            <w:div w:id="1558936271">
              <w:marLeft w:val="0"/>
              <w:marRight w:val="0"/>
              <w:marTop w:val="0"/>
              <w:marBottom w:val="0"/>
              <w:divBdr>
                <w:top w:val="none" w:sz="0" w:space="0" w:color="auto"/>
                <w:left w:val="none" w:sz="0" w:space="0" w:color="auto"/>
                <w:bottom w:val="none" w:sz="0" w:space="0" w:color="auto"/>
                <w:right w:val="none" w:sz="0" w:space="0" w:color="auto"/>
              </w:divBdr>
            </w:div>
            <w:div w:id="300119025">
              <w:marLeft w:val="0"/>
              <w:marRight w:val="0"/>
              <w:marTop w:val="0"/>
              <w:marBottom w:val="0"/>
              <w:divBdr>
                <w:top w:val="none" w:sz="0" w:space="0" w:color="auto"/>
                <w:left w:val="none" w:sz="0" w:space="0" w:color="auto"/>
                <w:bottom w:val="none" w:sz="0" w:space="0" w:color="auto"/>
                <w:right w:val="none" w:sz="0" w:space="0" w:color="auto"/>
              </w:divBdr>
            </w:div>
          </w:divsChild>
        </w:div>
        <w:div w:id="982807309">
          <w:marLeft w:val="0"/>
          <w:marRight w:val="0"/>
          <w:marTop w:val="0"/>
          <w:marBottom w:val="0"/>
          <w:divBdr>
            <w:top w:val="none" w:sz="0" w:space="0" w:color="auto"/>
            <w:left w:val="none" w:sz="0" w:space="0" w:color="auto"/>
            <w:bottom w:val="none" w:sz="0" w:space="0" w:color="auto"/>
            <w:right w:val="none" w:sz="0" w:space="0" w:color="auto"/>
          </w:divBdr>
          <w:divsChild>
            <w:div w:id="7337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51086">
      <w:bodyDiv w:val="1"/>
      <w:marLeft w:val="0"/>
      <w:marRight w:val="0"/>
      <w:marTop w:val="0"/>
      <w:marBottom w:val="0"/>
      <w:divBdr>
        <w:top w:val="none" w:sz="0" w:space="0" w:color="auto"/>
        <w:left w:val="none" w:sz="0" w:space="0" w:color="auto"/>
        <w:bottom w:val="none" w:sz="0" w:space="0" w:color="auto"/>
        <w:right w:val="none" w:sz="0" w:space="0" w:color="auto"/>
      </w:divBdr>
      <w:divsChild>
        <w:div w:id="1177496076">
          <w:marLeft w:val="0"/>
          <w:marRight w:val="0"/>
          <w:marTop w:val="0"/>
          <w:marBottom w:val="0"/>
          <w:divBdr>
            <w:top w:val="none" w:sz="0" w:space="0" w:color="auto"/>
            <w:left w:val="none" w:sz="0" w:space="0" w:color="auto"/>
            <w:bottom w:val="none" w:sz="0" w:space="0" w:color="auto"/>
            <w:right w:val="none" w:sz="0" w:space="0" w:color="auto"/>
          </w:divBdr>
          <w:divsChild>
            <w:div w:id="896670578">
              <w:marLeft w:val="0"/>
              <w:marRight w:val="0"/>
              <w:marTop w:val="0"/>
              <w:marBottom w:val="0"/>
              <w:divBdr>
                <w:top w:val="none" w:sz="0" w:space="0" w:color="auto"/>
                <w:left w:val="none" w:sz="0" w:space="0" w:color="auto"/>
                <w:bottom w:val="none" w:sz="0" w:space="0" w:color="auto"/>
                <w:right w:val="none" w:sz="0" w:space="0" w:color="auto"/>
              </w:divBdr>
            </w:div>
            <w:div w:id="1740325384">
              <w:marLeft w:val="0"/>
              <w:marRight w:val="0"/>
              <w:marTop w:val="0"/>
              <w:marBottom w:val="0"/>
              <w:divBdr>
                <w:top w:val="none" w:sz="0" w:space="0" w:color="auto"/>
                <w:left w:val="none" w:sz="0" w:space="0" w:color="auto"/>
                <w:bottom w:val="none" w:sz="0" w:space="0" w:color="auto"/>
                <w:right w:val="none" w:sz="0" w:space="0" w:color="auto"/>
              </w:divBdr>
            </w:div>
          </w:divsChild>
        </w:div>
        <w:div w:id="2089840550">
          <w:marLeft w:val="0"/>
          <w:marRight w:val="0"/>
          <w:marTop w:val="0"/>
          <w:marBottom w:val="0"/>
          <w:divBdr>
            <w:top w:val="none" w:sz="0" w:space="0" w:color="auto"/>
            <w:left w:val="none" w:sz="0" w:space="0" w:color="auto"/>
            <w:bottom w:val="none" w:sz="0" w:space="0" w:color="auto"/>
            <w:right w:val="none" w:sz="0" w:space="0" w:color="auto"/>
          </w:divBdr>
          <w:divsChild>
            <w:div w:id="1368868058">
              <w:marLeft w:val="0"/>
              <w:marRight w:val="0"/>
              <w:marTop w:val="30"/>
              <w:marBottom w:val="30"/>
              <w:divBdr>
                <w:top w:val="none" w:sz="0" w:space="0" w:color="auto"/>
                <w:left w:val="none" w:sz="0" w:space="0" w:color="auto"/>
                <w:bottom w:val="none" w:sz="0" w:space="0" w:color="auto"/>
                <w:right w:val="none" w:sz="0" w:space="0" w:color="auto"/>
              </w:divBdr>
              <w:divsChild>
                <w:div w:id="1275138789">
                  <w:marLeft w:val="0"/>
                  <w:marRight w:val="0"/>
                  <w:marTop w:val="0"/>
                  <w:marBottom w:val="0"/>
                  <w:divBdr>
                    <w:top w:val="none" w:sz="0" w:space="0" w:color="auto"/>
                    <w:left w:val="none" w:sz="0" w:space="0" w:color="auto"/>
                    <w:bottom w:val="none" w:sz="0" w:space="0" w:color="auto"/>
                    <w:right w:val="none" w:sz="0" w:space="0" w:color="auto"/>
                  </w:divBdr>
                  <w:divsChild>
                    <w:div w:id="439567667">
                      <w:marLeft w:val="0"/>
                      <w:marRight w:val="0"/>
                      <w:marTop w:val="0"/>
                      <w:marBottom w:val="0"/>
                      <w:divBdr>
                        <w:top w:val="none" w:sz="0" w:space="0" w:color="auto"/>
                        <w:left w:val="none" w:sz="0" w:space="0" w:color="auto"/>
                        <w:bottom w:val="none" w:sz="0" w:space="0" w:color="auto"/>
                        <w:right w:val="none" w:sz="0" w:space="0" w:color="auto"/>
                      </w:divBdr>
                    </w:div>
                  </w:divsChild>
                </w:div>
                <w:div w:id="36395648">
                  <w:marLeft w:val="0"/>
                  <w:marRight w:val="0"/>
                  <w:marTop w:val="0"/>
                  <w:marBottom w:val="0"/>
                  <w:divBdr>
                    <w:top w:val="none" w:sz="0" w:space="0" w:color="auto"/>
                    <w:left w:val="none" w:sz="0" w:space="0" w:color="auto"/>
                    <w:bottom w:val="none" w:sz="0" w:space="0" w:color="auto"/>
                    <w:right w:val="none" w:sz="0" w:space="0" w:color="auto"/>
                  </w:divBdr>
                  <w:divsChild>
                    <w:div w:id="1483234494">
                      <w:marLeft w:val="0"/>
                      <w:marRight w:val="0"/>
                      <w:marTop w:val="0"/>
                      <w:marBottom w:val="0"/>
                      <w:divBdr>
                        <w:top w:val="none" w:sz="0" w:space="0" w:color="auto"/>
                        <w:left w:val="none" w:sz="0" w:space="0" w:color="auto"/>
                        <w:bottom w:val="none" w:sz="0" w:space="0" w:color="auto"/>
                        <w:right w:val="none" w:sz="0" w:space="0" w:color="auto"/>
                      </w:divBdr>
                    </w:div>
                  </w:divsChild>
                </w:div>
                <w:div w:id="2112628869">
                  <w:marLeft w:val="0"/>
                  <w:marRight w:val="0"/>
                  <w:marTop w:val="0"/>
                  <w:marBottom w:val="0"/>
                  <w:divBdr>
                    <w:top w:val="none" w:sz="0" w:space="0" w:color="auto"/>
                    <w:left w:val="none" w:sz="0" w:space="0" w:color="auto"/>
                    <w:bottom w:val="none" w:sz="0" w:space="0" w:color="auto"/>
                    <w:right w:val="none" w:sz="0" w:space="0" w:color="auto"/>
                  </w:divBdr>
                  <w:divsChild>
                    <w:div w:id="2048555480">
                      <w:marLeft w:val="0"/>
                      <w:marRight w:val="0"/>
                      <w:marTop w:val="0"/>
                      <w:marBottom w:val="0"/>
                      <w:divBdr>
                        <w:top w:val="none" w:sz="0" w:space="0" w:color="auto"/>
                        <w:left w:val="none" w:sz="0" w:space="0" w:color="auto"/>
                        <w:bottom w:val="none" w:sz="0" w:space="0" w:color="auto"/>
                        <w:right w:val="none" w:sz="0" w:space="0" w:color="auto"/>
                      </w:divBdr>
                    </w:div>
                  </w:divsChild>
                </w:div>
                <w:div w:id="2084570420">
                  <w:marLeft w:val="0"/>
                  <w:marRight w:val="0"/>
                  <w:marTop w:val="0"/>
                  <w:marBottom w:val="0"/>
                  <w:divBdr>
                    <w:top w:val="none" w:sz="0" w:space="0" w:color="auto"/>
                    <w:left w:val="none" w:sz="0" w:space="0" w:color="auto"/>
                    <w:bottom w:val="none" w:sz="0" w:space="0" w:color="auto"/>
                    <w:right w:val="none" w:sz="0" w:space="0" w:color="auto"/>
                  </w:divBdr>
                  <w:divsChild>
                    <w:div w:id="182718812">
                      <w:marLeft w:val="0"/>
                      <w:marRight w:val="0"/>
                      <w:marTop w:val="0"/>
                      <w:marBottom w:val="0"/>
                      <w:divBdr>
                        <w:top w:val="none" w:sz="0" w:space="0" w:color="auto"/>
                        <w:left w:val="none" w:sz="0" w:space="0" w:color="auto"/>
                        <w:bottom w:val="none" w:sz="0" w:space="0" w:color="auto"/>
                        <w:right w:val="none" w:sz="0" w:space="0" w:color="auto"/>
                      </w:divBdr>
                    </w:div>
                  </w:divsChild>
                </w:div>
                <w:div w:id="1588080752">
                  <w:marLeft w:val="0"/>
                  <w:marRight w:val="0"/>
                  <w:marTop w:val="0"/>
                  <w:marBottom w:val="0"/>
                  <w:divBdr>
                    <w:top w:val="none" w:sz="0" w:space="0" w:color="auto"/>
                    <w:left w:val="none" w:sz="0" w:space="0" w:color="auto"/>
                    <w:bottom w:val="none" w:sz="0" w:space="0" w:color="auto"/>
                    <w:right w:val="none" w:sz="0" w:space="0" w:color="auto"/>
                  </w:divBdr>
                  <w:divsChild>
                    <w:div w:id="603532807">
                      <w:marLeft w:val="0"/>
                      <w:marRight w:val="0"/>
                      <w:marTop w:val="0"/>
                      <w:marBottom w:val="0"/>
                      <w:divBdr>
                        <w:top w:val="none" w:sz="0" w:space="0" w:color="auto"/>
                        <w:left w:val="none" w:sz="0" w:space="0" w:color="auto"/>
                        <w:bottom w:val="none" w:sz="0" w:space="0" w:color="auto"/>
                        <w:right w:val="none" w:sz="0" w:space="0" w:color="auto"/>
                      </w:divBdr>
                    </w:div>
                  </w:divsChild>
                </w:div>
                <w:div w:id="958757085">
                  <w:marLeft w:val="0"/>
                  <w:marRight w:val="0"/>
                  <w:marTop w:val="0"/>
                  <w:marBottom w:val="0"/>
                  <w:divBdr>
                    <w:top w:val="none" w:sz="0" w:space="0" w:color="auto"/>
                    <w:left w:val="none" w:sz="0" w:space="0" w:color="auto"/>
                    <w:bottom w:val="none" w:sz="0" w:space="0" w:color="auto"/>
                    <w:right w:val="none" w:sz="0" w:space="0" w:color="auto"/>
                  </w:divBdr>
                  <w:divsChild>
                    <w:div w:id="1023093688">
                      <w:marLeft w:val="0"/>
                      <w:marRight w:val="0"/>
                      <w:marTop w:val="0"/>
                      <w:marBottom w:val="0"/>
                      <w:divBdr>
                        <w:top w:val="none" w:sz="0" w:space="0" w:color="auto"/>
                        <w:left w:val="none" w:sz="0" w:space="0" w:color="auto"/>
                        <w:bottom w:val="none" w:sz="0" w:space="0" w:color="auto"/>
                        <w:right w:val="none" w:sz="0" w:space="0" w:color="auto"/>
                      </w:divBdr>
                    </w:div>
                  </w:divsChild>
                </w:div>
                <w:div w:id="664357404">
                  <w:marLeft w:val="0"/>
                  <w:marRight w:val="0"/>
                  <w:marTop w:val="0"/>
                  <w:marBottom w:val="0"/>
                  <w:divBdr>
                    <w:top w:val="none" w:sz="0" w:space="0" w:color="auto"/>
                    <w:left w:val="none" w:sz="0" w:space="0" w:color="auto"/>
                    <w:bottom w:val="none" w:sz="0" w:space="0" w:color="auto"/>
                    <w:right w:val="none" w:sz="0" w:space="0" w:color="auto"/>
                  </w:divBdr>
                  <w:divsChild>
                    <w:div w:id="1798136143">
                      <w:marLeft w:val="0"/>
                      <w:marRight w:val="0"/>
                      <w:marTop w:val="0"/>
                      <w:marBottom w:val="0"/>
                      <w:divBdr>
                        <w:top w:val="none" w:sz="0" w:space="0" w:color="auto"/>
                        <w:left w:val="none" w:sz="0" w:space="0" w:color="auto"/>
                        <w:bottom w:val="none" w:sz="0" w:space="0" w:color="auto"/>
                        <w:right w:val="none" w:sz="0" w:space="0" w:color="auto"/>
                      </w:divBdr>
                    </w:div>
                  </w:divsChild>
                </w:div>
                <w:div w:id="1568606513">
                  <w:marLeft w:val="0"/>
                  <w:marRight w:val="0"/>
                  <w:marTop w:val="0"/>
                  <w:marBottom w:val="0"/>
                  <w:divBdr>
                    <w:top w:val="none" w:sz="0" w:space="0" w:color="auto"/>
                    <w:left w:val="none" w:sz="0" w:space="0" w:color="auto"/>
                    <w:bottom w:val="none" w:sz="0" w:space="0" w:color="auto"/>
                    <w:right w:val="none" w:sz="0" w:space="0" w:color="auto"/>
                  </w:divBdr>
                  <w:divsChild>
                    <w:div w:id="1049064929">
                      <w:marLeft w:val="0"/>
                      <w:marRight w:val="0"/>
                      <w:marTop w:val="0"/>
                      <w:marBottom w:val="0"/>
                      <w:divBdr>
                        <w:top w:val="none" w:sz="0" w:space="0" w:color="auto"/>
                        <w:left w:val="none" w:sz="0" w:space="0" w:color="auto"/>
                        <w:bottom w:val="none" w:sz="0" w:space="0" w:color="auto"/>
                        <w:right w:val="none" w:sz="0" w:space="0" w:color="auto"/>
                      </w:divBdr>
                    </w:div>
                  </w:divsChild>
                </w:div>
                <w:div w:id="198982315">
                  <w:marLeft w:val="0"/>
                  <w:marRight w:val="0"/>
                  <w:marTop w:val="0"/>
                  <w:marBottom w:val="0"/>
                  <w:divBdr>
                    <w:top w:val="none" w:sz="0" w:space="0" w:color="auto"/>
                    <w:left w:val="none" w:sz="0" w:space="0" w:color="auto"/>
                    <w:bottom w:val="none" w:sz="0" w:space="0" w:color="auto"/>
                    <w:right w:val="none" w:sz="0" w:space="0" w:color="auto"/>
                  </w:divBdr>
                  <w:divsChild>
                    <w:div w:id="428550507">
                      <w:marLeft w:val="0"/>
                      <w:marRight w:val="0"/>
                      <w:marTop w:val="0"/>
                      <w:marBottom w:val="0"/>
                      <w:divBdr>
                        <w:top w:val="none" w:sz="0" w:space="0" w:color="auto"/>
                        <w:left w:val="none" w:sz="0" w:space="0" w:color="auto"/>
                        <w:bottom w:val="none" w:sz="0" w:space="0" w:color="auto"/>
                        <w:right w:val="none" w:sz="0" w:space="0" w:color="auto"/>
                      </w:divBdr>
                    </w:div>
                  </w:divsChild>
                </w:div>
                <w:div w:id="1551304674">
                  <w:marLeft w:val="0"/>
                  <w:marRight w:val="0"/>
                  <w:marTop w:val="0"/>
                  <w:marBottom w:val="0"/>
                  <w:divBdr>
                    <w:top w:val="none" w:sz="0" w:space="0" w:color="auto"/>
                    <w:left w:val="none" w:sz="0" w:space="0" w:color="auto"/>
                    <w:bottom w:val="none" w:sz="0" w:space="0" w:color="auto"/>
                    <w:right w:val="none" w:sz="0" w:space="0" w:color="auto"/>
                  </w:divBdr>
                  <w:divsChild>
                    <w:div w:id="1107115185">
                      <w:marLeft w:val="0"/>
                      <w:marRight w:val="0"/>
                      <w:marTop w:val="0"/>
                      <w:marBottom w:val="0"/>
                      <w:divBdr>
                        <w:top w:val="none" w:sz="0" w:space="0" w:color="auto"/>
                        <w:left w:val="none" w:sz="0" w:space="0" w:color="auto"/>
                        <w:bottom w:val="none" w:sz="0" w:space="0" w:color="auto"/>
                        <w:right w:val="none" w:sz="0" w:space="0" w:color="auto"/>
                      </w:divBdr>
                    </w:div>
                  </w:divsChild>
                </w:div>
                <w:div w:id="2083286305">
                  <w:marLeft w:val="0"/>
                  <w:marRight w:val="0"/>
                  <w:marTop w:val="0"/>
                  <w:marBottom w:val="0"/>
                  <w:divBdr>
                    <w:top w:val="none" w:sz="0" w:space="0" w:color="auto"/>
                    <w:left w:val="none" w:sz="0" w:space="0" w:color="auto"/>
                    <w:bottom w:val="none" w:sz="0" w:space="0" w:color="auto"/>
                    <w:right w:val="none" w:sz="0" w:space="0" w:color="auto"/>
                  </w:divBdr>
                  <w:divsChild>
                    <w:div w:id="1897857888">
                      <w:marLeft w:val="0"/>
                      <w:marRight w:val="0"/>
                      <w:marTop w:val="0"/>
                      <w:marBottom w:val="0"/>
                      <w:divBdr>
                        <w:top w:val="none" w:sz="0" w:space="0" w:color="auto"/>
                        <w:left w:val="none" w:sz="0" w:space="0" w:color="auto"/>
                        <w:bottom w:val="none" w:sz="0" w:space="0" w:color="auto"/>
                        <w:right w:val="none" w:sz="0" w:space="0" w:color="auto"/>
                      </w:divBdr>
                    </w:div>
                  </w:divsChild>
                </w:div>
                <w:div w:id="1058940071">
                  <w:marLeft w:val="0"/>
                  <w:marRight w:val="0"/>
                  <w:marTop w:val="0"/>
                  <w:marBottom w:val="0"/>
                  <w:divBdr>
                    <w:top w:val="none" w:sz="0" w:space="0" w:color="auto"/>
                    <w:left w:val="none" w:sz="0" w:space="0" w:color="auto"/>
                    <w:bottom w:val="none" w:sz="0" w:space="0" w:color="auto"/>
                    <w:right w:val="none" w:sz="0" w:space="0" w:color="auto"/>
                  </w:divBdr>
                  <w:divsChild>
                    <w:div w:id="587613891">
                      <w:marLeft w:val="0"/>
                      <w:marRight w:val="0"/>
                      <w:marTop w:val="0"/>
                      <w:marBottom w:val="0"/>
                      <w:divBdr>
                        <w:top w:val="none" w:sz="0" w:space="0" w:color="auto"/>
                        <w:left w:val="none" w:sz="0" w:space="0" w:color="auto"/>
                        <w:bottom w:val="none" w:sz="0" w:space="0" w:color="auto"/>
                        <w:right w:val="none" w:sz="0" w:space="0" w:color="auto"/>
                      </w:divBdr>
                    </w:div>
                  </w:divsChild>
                </w:div>
                <w:div w:id="1304385432">
                  <w:marLeft w:val="0"/>
                  <w:marRight w:val="0"/>
                  <w:marTop w:val="0"/>
                  <w:marBottom w:val="0"/>
                  <w:divBdr>
                    <w:top w:val="none" w:sz="0" w:space="0" w:color="auto"/>
                    <w:left w:val="none" w:sz="0" w:space="0" w:color="auto"/>
                    <w:bottom w:val="none" w:sz="0" w:space="0" w:color="auto"/>
                    <w:right w:val="none" w:sz="0" w:space="0" w:color="auto"/>
                  </w:divBdr>
                  <w:divsChild>
                    <w:div w:id="842235121">
                      <w:marLeft w:val="0"/>
                      <w:marRight w:val="0"/>
                      <w:marTop w:val="0"/>
                      <w:marBottom w:val="0"/>
                      <w:divBdr>
                        <w:top w:val="none" w:sz="0" w:space="0" w:color="auto"/>
                        <w:left w:val="none" w:sz="0" w:space="0" w:color="auto"/>
                        <w:bottom w:val="none" w:sz="0" w:space="0" w:color="auto"/>
                        <w:right w:val="none" w:sz="0" w:space="0" w:color="auto"/>
                      </w:divBdr>
                    </w:div>
                  </w:divsChild>
                </w:div>
                <w:div w:id="1554003653">
                  <w:marLeft w:val="0"/>
                  <w:marRight w:val="0"/>
                  <w:marTop w:val="0"/>
                  <w:marBottom w:val="0"/>
                  <w:divBdr>
                    <w:top w:val="none" w:sz="0" w:space="0" w:color="auto"/>
                    <w:left w:val="none" w:sz="0" w:space="0" w:color="auto"/>
                    <w:bottom w:val="none" w:sz="0" w:space="0" w:color="auto"/>
                    <w:right w:val="none" w:sz="0" w:space="0" w:color="auto"/>
                  </w:divBdr>
                  <w:divsChild>
                    <w:div w:id="312416517">
                      <w:marLeft w:val="0"/>
                      <w:marRight w:val="0"/>
                      <w:marTop w:val="0"/>
                      <w:marBottom w:val="0"/>
                      <w:divBdr>
                        <w:top w:val="none" w:sz="0" w:space="0" w:color="auto"/>
                        <w:left w:val="none" w:sz="0" w:space="0" w:color="auto"/>
                        <w:bottom w:val="none" w:sz="0" w:space="0" w:color="auto"/>
                        <w:right w:val="none" w:sz="0" w:space="0" w:color="auto"/>
                      </w:divBdr>
                    </w:div>
                  </w:divsChild>
                </w:div>
                <w:div w:id="1131748512">
                  <w:marLeft w:val="0"/>
                  <w:marRight w:val="0"/>
                  <w:marTop w:val="0"/>
                  <w:marBottom w:val="0"/>
                  <w:divBdr>
                    <w:top w:val="none" w:sz="0" w:space="0" w:color="auto"/>
                    <w:left w:val="none" w:sz="0" w:space="0" w:color="auto"/>
                    <w:bottom w:val="none" w:sz="0" w:space="0" w:color="auto"/>
                    <w:right w:val="none" w:sz="0" w:space="0" w:color="auto"/>
                  </w:divBdr>
                  <w:divsChild>
                    <w:div w:id="940838691">
                      <w:marLeft w:val="0"/>
                      <w:marRight w:val="0"/>
                      <w:marTop w:val="0"/>
                      <w:marBottom w:val="0"/>
                      <w:divBdr>
                        <w:top w:val="none" w:sz="0" w:space="0" w:color="auto"/>
                        <w:left w:val="none" w:sz="0" w:space="0" w:color="auto"/>
                        <w:bottom w:val="none" w:sz="0" w:space="0" w:color="auto"/>
                        <w:right w:val="none" w:sz="0" w:space="0" w:color="auto"/>
                      </w:divBdr>
                    </w:div>
                  </w:divsChild>
                </w:div>
                <w:div w:id="1417556825">
                  <w:marLeft w:val="0"/>
                  <w:marRight w:val="0"/>
                  <w:marTop w:val="0"/>
                  <w:marBottom w:val="0"/>
                  <w:divBdr>
                    <w:top w:val="none" w:sz="0" w:space="0" w:color="auto"/>
                    <w:left w:val="none" w:sz="0" w:space="0" w:color="auto"/>
                    <w:bottom w:val="none" w:sz="0" w:space="0" w:color="auto"/>
                    <w:right w:val="none" w:sz="0" w:space="0" w:color="auto"/>
                  </w:divBdr>
                  <w:divsChild>
                    <w:div w:id="1094597451">
                      <w:marLeft w:val="0"/>
                      <w:marRight w:val="0"/>
                      <w:marTop w:val="0"/>
                      <w:marBottom w:val="0"/>
                      <w:divBdr>
                        <w:top w:val="none" w:sz="0" w:space="0" w:color="auto"/>
                        <w:left w:val="none" w:sz="0" w:space="0" w:color="auto"/>
                        <w:bottom w:val="none" w:sz="0" w:space="0" w:color="auto"/>
                        <w:right w:val="none" w:sz="0" w:space="0" w:color="auto"/>
                      </w:divBdr>
                    </w:div>
                  </w:divsChild>
                </w:div>
                <w:div w:id="446432858">
                  <w:marLeft w:val="0"/>
                  <w:marRight w:val="0"/>
                  <w:marTop w:val="0"/>
                  <w:marBottom w:val="0"/>
                  <w:divBdr>
                    <w:top w:val="none" w:sz="0" w:space="0" w:color="auto"/>
                    <w:left w:val="none" w:sz="0" w:space="0" w:color="auto"/>
                    <w:bottom w:val="none" w:sz="0" w:space="0" w:color="auto"/>
                    <w:right w:val="none" w:sz="0" w:space="0" w:color="auto"/>
                  </w:divBdr>
                  <w:divsChild>
                    <w:div w:id="66924985">
                      <w:marLeft w:val="0"/>
                      <w:marRight w:val="0"/>
                      <w:marTop w:val="0"/>
                      <w:marBottom w:val="0"/>
                      <w:divBdr>
                        <w:top w:val="none" w:sz="0" w:space="0" w:color="auto"/>
                        <w:left w:val="none" w:sz="0" w:space="0" w:color="auto"/>
                        <w:bottom w:val="none" w:sz="0" w:space="0" w:color="auto"/>
                        <w:right w:val="none" w:sz="0" w:space="0" w:color="auto"/>
                      </w:divBdr>
                    </w:div>
                  </w:divsChild>
                </w:div>
                <w:div w:id="768045551">
                  <w:marLeft w:val="0"/>
                  <w:marRight w:val="0"/>
                  <w:marTop w:val="0"/>
                  <w:marBottom w:val="0"/>
                  <w:divBdr>
                    <w:top w:val="none" w:sz="0" w:space="0" w:color="auto"/>
                    <w:left w:val="none" w:sz="0" w:space="0" w:color="auto"/>
                    <w:bottom w:val="none" w:sz="0" w:space="0" w:color="auto"/>
                    <w:right w:val="none" w:sz="0" w:space="0" w:color="auto"/>
                  </w:divBdr>
                  <w:divsChild>
                    <w:div w:id="1185440516">
                      <w:marLeft w:val="0"/>
                      <w:marRight w:val="0"/>
                      <w:marTop w:val="0"/>
                      <w:marBottom w:val="0"/>
                      <w:divBdr>
                        <w:top w:val="none" w:sz="0" w:space="0" w:color="auto"/>
                        <w:left w:val="none" w:sz="0" w:space="0" w:color="auto"/>
                        <w:bottom w:val="none" w:sz="0" w:space="0" w:color="auto"/>
                        <w:right w:val="none" w:sz="0" w:space="0" w:color="auto"/>
                      </w:divBdr>
                    </w:div>
                  </w:divsChild>
                </w:div>
                <w:div w:id="985550131">
                  <w:marLeft w:val="0"/>
                  <w:marRight w:val="0"/>
                  <w:marTop w:val="0"/>
                  <w:marBottom w:val="0"/>
                  <w:divBdr>
                    <w:top w:val="none" w:sz="0" w:space="0" w:color="auto"/>
                    <w:left w:val="none" w:sz="0" w:space="0" w:color="auto"/>
                    <w:bottom w:val="none" w:sz="0" w:space="0" w:color="auto"/>
                    <w:right w:val="none" w:sz="0" w:space="0" w:color="auto"/>
                  </w:divBdr>
                  <w:divsChild>
                    <w:div w:id="200559659">
                      <w:marLeft w:val="0"/>
                      <w:marRight w:val="0"/>
                      <w:marTop w:val="0"/>
                      <w:marBottom w:val="0"/>
                      <w:divBdr>
                        <w:top w:val="none" w:sz="0" w:space="0" w:color="auto"/>
                        <w:left w:val="none" w:sz="0" w:space="0" w:color="auto"/>
                        <w:bottom w:val="none" w:sz="0" w:space="0" w:color="auto"/>
                        <w:right w:val="none" w:sz="0" w:space="0" w:color="auto"/>
                      </w:divBdr>
                    </w:div>
                  </w:divsChild>
                </w:div>
                <w:div w:id="818421834">
                  <w:marLeft w:val="0"/>
                  <w:marRight w:val="0"/>
                  <w:marTop w:val="0"/>
                  <w:marBottom w:val="0"/>
                  <w:divBdr>
                    <w:top w:val="none" w:sz="0" w:space="0" w:color="auto"/>
                    <w:left w:val="none" w:sz="0" w:space="0" w:color="auto"/>
                    <w:bottom w:val="none" w:sz="0" w:space="0" w:color="auto"/>
                    <w:right w:val="none" w:sz="0" w:space="0" w:color="auto"/>
                  </w:divBdr>
                  <w:divsChild>
                    <w:div w:id="964192398">
                      <w:marLeft w:val="0"/>
                      <w:marRight w:val="0"/>
                      <w:marTop w:val="0"/>
                      <w:marBottom w:val="0"/>
                      <w:divBdr>
                        <w:top w:val="none" w:sz="0" w:space="0" w:color="auto"/>
                        <w:left w:val="none" w:sz="0" w:space="0" w:color="auto"/>
                        <w:bottom w:val="none" w:sz="0" w:space="0" w:color="auto"/>
                        <w:right w:val="none" w:sz="0" w:space="0" w:color="auto"/>
                      </w:divBdr>
                    </w:div>
                  </w:divsChild>
                </w:div>
                <w:div w:id="724062134">
                  <w:marLeft w:val="0"/>
                  <w:marRight w:val="0"/>
                  <w:marTop w:val="0"/>
                  <w:marBottom w:val="0"/>
                  <w:divBdr>
                    <w:top w:val="none" w:sz="0" w:space="0" w:color="auto"/>
                    <w:left w:val="none" w:sz="0" w:space="0" w:color="auto"/>
                    <w:bottom w:val="none" w:sz="0" w:space="0" w:color="auto"/>
                    <w:right w:val="none" w:sz="0" w:space="0" w:color="auto"/>
                  </w:divBdr>
                  <w:divsChild>
                    <w:div w:id="1027945827">
                      <w:marLeft w:val="0"/>
                      <w:marRight w:val="0"/>
                      <w:marTop w:val="0"/>
                      <w:marBottom w:val="0"/>
                      <w:divBdr>
                        <w:top w:val="none" w:sz="0" w:space="0" w:color="auto"/>
                        <w:left w:val="none" w:sz="0" w:space="0" w:color="auto"/>
                        <w:bottom w:val="none" w:sz="0" w:space="0" w:color="auto"/>
                        <w:right w:val="none" w:sz="0" w:space="0" w:color="auto"/>
                      </w:divBdr>
                    </w:div>
                  </w:divsChild>
                </w:div>
                <w:div w:id="95102344">
                  <w:marLeft w:val="0"/>
                  <w:marRight w:val="0"/>
                  <w:marTop w:val="0"/>
                  <w:marBottom w:val="0"/>
                  <w:divBdr>
                    <w:top w:val="none" w:sz="0" w:space="0" w:color="auto"/>
                    <w:left w:val="none" w:sz="0" w:space="0" w:color="auto"/>
                    <w:bottom w:val="none" w:sz="0" w:space="0" w:color="auto"/>
                    <w:right w:val="none" w:sz="0" w:space="0" w:color="auto"/>
                  </w:divBdr>
                  <w:divsChild>
                    <w:div w:id="367339219">
                      <w:marLeft w:val="0"/>
                      <w:marRight w:val="0"/>
                      <w:marTop w:val="0"/>
                      <w:marBottom w:val="0"/>
                      <w:divBdr>
                        <w:top w:val="none" w:sz="0" w:space="0" w:color="auto"/>
                        <w:left w:val="none" w:sz="0" w:space="0" w:color="auto"/>
                        <w:bottom w:val="none" w:sz="0" w:space="0" w:color="auto"/>
                        <w:right w:val="none" w:sz="0" w:space="0" w:color="auto"/>
                      </w:divBdr>
                    </w:div>
                  </w:divsChild>
                </w:div>
                <w:div w:id="770585632">
                  <w:marLeft w:val="0"/>
                  <w:marRight w:val="0"/>
                  <w:marTop w:val="0"/>
                  <w:marBottom w:val="0"/>
                  <w:divBdr>
                    <w:top w:val="none" w:sz="0" w:space="0" w:color="auto"/>
                    <w:left w:val="none" w:sz="0" w:space="0" w:color="auto"/>
                    <w:bottom w:val="none" w:sz="0" w:space="0" w:color="auto"/>
                    <w:right w:val="none" w:sz="0" w:space="0" w:color="auto"/>
                  </w:divBdr>
                  <w:divsChild>
                    <w:div w:id="1733693122">
                      <w:marLeft w:val="0"/>
                      <w:marRight w:val="0"/>
                      <w:marTop w:val="0"/>
                      <w:marBottom w:val="0"/>
                      <w:divBdr>
                        <w:top w:val="none" w:sz="0" w:space="0" w:color="auto"/>
                        <w:left w:val="none" w:sz="0" w:space="0" w:color="auto"/>
                        <w:bottom w:val="none" w:sz="0" w:space="0" w:color="auto"/>
                        <w:right w:val="none" w:sz="0" w:space="0" w:color="auto"/>
                      </w:divBdr>
                    </w:div>
                  </w:divsChild>
                </w:div>
                <w:div w:id="1684697654">
                  <w:marLeft w:val="0"/>
                  <w:marRight w:val="0"/>
                  <w:marTop w:val="0"/>
                  <w:marBottom w:val="0"/>
                  <w:divBdr>
                    <w:top w:val="none" w:sz="0" w:space="0" w:color="auto"/>
                    <w:left w:val="none" w:sz="0" w:space="0" w:color="auto"/>
                    <w:bottom w:val="none" w:sz="0" w:space="0" w:color="auto"/>
                    <w:right w:val="none" w:sz="0" w:space="0" w:color="auto"/>
                  </w:divBdr>
                  <w:divsChild>
                    <w:div w:id="1441755220">
                      <w:marLeft w:val="0"/>
                      <w:marRight w:val="0"/>
                      <w:marTop w:val="0"/>
                      <w:marBottom w:val="0"/>
                      <w:divBdr>
                        <w:top w:val="none" w:sz="0" w:space="0" w:color="auto"/>
                        <w:left w:val="none" w:sz="0" w:space="0" w:color="auto"/>
                        <w:bottom w:val="none" w:sz="0" w:space="0" w:color="auto"/>
                        <w:right w:val="none" w:sz="0" w:space="0" w:color="auto"/>
                      </w:divBdr>
                    </w:div>
                  </w:divsChild>
                </w:div>
                <w:div w:id="2062705200">
                  <w:marLeft w:val="0"/>
                  <w:marRight w:val="0"/>
                  <w:marTop w:val="0"/>
                  <w:marBottom w:val="0"/>
                  <w:divBdr>
                    <w:top w:val="none" w:sz="0" w:space="0" w:color="auto"/>
                    <w:left w:val="none" w:sz="0" w:space="0" w:color="auto"/>
                    <w:bottom w:val="none" w:sz="0" w:space="0" w:color="auto"/>
                    <w:right w:val="none" w:sz="0" w:space="0" w:color="auto"/>
                  </w:divBdr>
                  <w:divsChild>
                    <w:div w:id="493035475">
                      <w:marLeft w:val="0"/>
                      <w:marRight w:val="0"/>
                      <w:marTop w:val="0"/>
                      <w:marBottom w:val="0"/>
                      <w:divBdr>
                        <w:top w:val="none" w:sz="0" w:space="0" w:color="auto"/>
                        <w:left w:val="none" w:sz="0" w:space="0" w:color="auto"/>
                        <w:bottom w:val="none" w:sz="0" w:space="0" w:color="auto"/>
                        <w:right w:val="none" w:sz="0" w:space="0" w:color="auto"/>
                      </w:divBdr>
                    </w:div>
                  </w:divsChild>
                </w:div>
                <w:div w:id="1901944191">
                  <w:marLeft w:val="0"/>
                  <w:marRight w:val="0"/>
                  <w:marTop w:val="0"/>
                  <w:marBottom w:val="0"/>
                  <w:divBdr>
                    <w:top w:val="none" w:sz="0" w:space="0" w:color="auto"/>
                    <w:left w:val="none" w:sz="0" w:space="0" w:color="auto"/>
                    <w:bottom w:val="none" w:sz="0" w:space="0" w:color="auto"/>
                    <w:right w:val="none" w:sz="0" w:space="0" w:color="auto"/>
                  </w:divBdr>
                  <w:divsChild>
                    <w:div w:id="1861773756">
                      <w:marLeft w:val="0"/>
                      <w:marRight w:val="0"/>
                      <w:marTop w:val="0"/>
                      <w:marBottom w:val="0"/>
                      <w:divBdr>
                        <w:top w:val="none" w:sz="0" w:space="0" w:color="auto"/>
                        <w:left w:val="none" w:sz="0" w:space="0" w:color="auto"/>
                        <w:bottom w:val="none" w:sz="0" w:space="0" w:color="auto"/>
                        <w:right w:val="none" w:sz="0" w:space="0" w:color="auto"/>
                      </w:divBdr>
                    </w:div>
                  </w:divsChild>
                </w:div>
                <w:div w:id="798374139">
                  <w:marLeft w:val="0"/>
                  <w:marRight w:val="0"/>
                  <w:marTop w:val="0"/>
                  <w:marBottom w:val="0"/>
                  <w:divBdr>
                    <w:top w:val="none" w:sz="0" w:space="0" w:color="auto"/>
                    <w:left w:val="none" w:sz="0" w:space="0" w:color="auto"/>
                    <w:bottom w:val="none" w:sz="0" w:space="0" w:color="auto"/>
                    <w:right w:val="none" w:sz="0" w:space="0" w:color="auto"/>
                  </w:divBdr>
                  <w:divsChild>
                    <w:div w:id="16868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491776">
      <w:bodyDiv w:val="1"/>
      <w:marLeft w:val="0"/>
      <w:marRight w:val="0"/>
      <w:marTop w:val="0"/>
      <w:marBottom w:val="0"/>
      <w:divBdr>
        <w:top w:val="none" w:sz="0" w:space="0" w:color="auto"/>
        <w:left w:val="none" w:sz="0" w:space="0" w:color="auto"/>
        <w:bottom w:val="none" w:sz="0" w:space="0" w:color="auto"/>
        <w:right w:val="none" w:sz="0" w:space="0" w:color="auto"/>
      </w:divBdr>
    </w:div>
    <w:div w:id="1661302387">
      <w:bodyDiv w:val="1"/>
      <w:marLeft w:val="0"/>
      <w:marRight w:val="0"/>
      <w:marTop w:val="0"/>
      <w:marBottom w:val="0"/>
      <w:divBdr>
        <w:top w:val="none" w:sz="0" w:space="0" w:color="auto"/>
        <w:left w:val="none" w:sz="0" w:space="0" w:color="auto"/>
        <w:bottom w:val="none" w:sz="0" w:space="0" w:color="auto"/>
        <w:right w:val="none" w:sz="0" w:space="0" w:color="auto"/>
      </w:divBdr>
    </w:div>
    <w:div w:id="1741563597">
      <w:bodyDiv w:val="1"/>
      <w:marLeft w:val="0"/>
      <w:marRight w:val="0"/>
      <w:marTop w:val="0"/>
      <w:marBottom w:val="0"/>
      <w:divBdr>
        <w:top w:val="none" w:sz="0" w:space="0" w:color="auto"/>
        <w:left w:val="none" w:sz="0" w:space="0" w:color="auto"/>
        <w:bottom w:val="none" w:sz="0" w:space="0" w:color="auto"/>
        <w:right w:val="none" w:sz="0" w:space="0" w:color="auto"/>
      </w:divBdr>
    </w:div>
    <w:div w:id="1796874797">
      <w:bodyDiv w:val="1"/>
      <w:marLeft w:val="0"/>
      <w:marRight w:val="0"/>
      <w:marTop w:val="0"/>
      <w:marBottom w:val="0"/>
      <w:divBdr>
        <w:top w:val="none" w:sz="0" w:space="0" w:color="auto"/>
        <w:left w:val="none" w:sz="0" w:space="0" w:color="auto"/>
        <w:bottom w:val="none" w:sz="0" w:space="0" w:color="auto"/>
        <w:right w:val="none" w:sz="0" w:space="0" w:color="auto"/>
      </w:divBdr>
    </w:div>
    <w:div w:id="1810703470">
      <w:bodyDiv w:val="1"/>
      <w:marLeft w:val="0"/>
      <w:marRight w:val="0"/>
      <w:marTop w:val="0"/>
      <w:marBottom w:val="0"/>
      <w:divBdr>
        <w:top w:val="none" w:sz="0" w:space="0" w:color="auto"/>
        <w:left w:val="none" w:sz="0" w:space="0" w:color="auto"/>
        <w:bottom w:val="none" w:sz="0" w:space="0" w:color="auto"/>
        <w:right w:val="none" w:sz="0" w:space="0" w:color="auto"/>
      </w:divBdr>
    </w:div>
    <w:div w:id="1832283317">
      <w:bodyDiv w:val="1"/>
      <w:marLeft w:val="0"/>
      <w:marRight w:val="0"/>
      <w:marTop w:val="0"/>
      <w:marBottom w:val="0"/>
      <w:divBdr>
        <w:top w:val="none" w:sz="0" w:space="0" w:color="auto"/>
        <w:left w:val="none" w:sz="0" w:space="0" w:color="auto"/>
        <w:bottom w:val="none" w:sz="0" w:space="0" w:color="auto"/>
        <w:right w:val="none" w:sz="0" w:space="0" w:color="auto"/>
      </w:divBdr>
    </w:div>
    <w:div w:id="1901135930">
      <w:bodyDiv w:val="1"/>
      <w:marLeft w:val="0"/>
      <w:marRight w:val="0"/>
      <w:marTop w:val="0"/>
      <w:marBottom w:val="0"/>
      <w:divBdr>
        <w:top w:val="none" w:sz="0" w:space="0" w:color="auto"/>
        <w:left w:val="none" w:sz="0" w:space="0" w:color="auto"/>
        <w:bottom w:val="none" w:sz="0" w:space="0" w:color="auto"/>
        <w:right w:val="none" w:sz="0" w:space="0" w:color="auto"/>
      </w:divBdr>
    </w:div>
    <w:div w:id="1913274767">
      <w:bodyDiv w:val="1"/>
      <w:marLeft w:val="0"/>
      <w:marRight w:val="0"/>
      <w:marTop w:val="0"/>
      <w:marBottom w:val="0"/>
      <w:divBdr>
        <w:top w:val="none" w:sz="0" w:space="0" w:color="auto"/>
        <w:left w:val="none" w:sz="0" w:space="0" w:color="auto"/>
        <w:bottom w:val="none" w:sz="0" w:space="0" w:color="auto"/>
        <w:right w:val="none" w:sz="0" w:space="0" w:color="auto"/>
      </w:divBdr>
    </w:div>
    <w:div w:id="1933976412">
      <w:bodyDiv w:val="1"/>
      <w:marLeft w:val="0"/>
      <w:marRight w:val="0"/>
      <w:marTop w:val="0"/>
      <w:marBottom w:val="0"/>
      <w:divBdr>
        <w:top w:val="none" w:sz="0" w:space="0" w:color="auto"/>
        <w:left w:val="none" w:sz="0" w:space="0" w:color="auto"/>
        <w:bottom w:val="none" w:sz="0" w:space="0" w:color="auto"/>
        <w:right w:val="none" w:sz="0" w:space="0" w:color="auto"/>
      </w:divBdr>
    </w:div>
    <w:div w:id="1949893306">
      <w:bodyDiv w:val="1"/>
      <w:marLeft w:val="0"/>
      <w:marRight w:val="0"/>
      <w:marTop w:val="0"/>
      <w:marBottom w:val="0"/>
      <w:divBdr>
        <w:top w:val="none" w:sz="0" w:space="0" w:color="auto"/>
        <w:left w:val="none" w:sz="0" w:space="0" w:color="auto"/>
        <w:bottom w:val="none" w:sz="0" w:space="0" w:color="auto"/>
        <w:right w:val="none" w:sz="0" w:space="0" w:color="auto"/>
      </w:divBdr>
    </w:div>
    <w:div w:id="1981685690">
      <w:bodyDiv w:val="1"/>
      <w:marLeft w:val="0"/>
      <w:marRight w:val="0"/>
      <w:marTop w:val="0"/>
      <w:marBottom w:val="0"/>
      <w:divBdr>
        <w:top w:val="none" w:sz="0" w:space="0" w:color="auto"/>
        <w:left w:val="none" w:sz="0" w:space="0" w:color="auto"/>
        <w:bottom w:val="none" w:sz="0" w:space="0" w:color="auto"/>
        <w:right w:val="none" w:sz="0" w:space="0" w:color="auto"/>
      </w:divBdr>
    </w:div>
    <w:div w:id="2093700486">
      <w:bodyDiv w:val="1"/>
      <w:marLeft w:val="0"/>
      <w:marRight w:val="0"/>
      <w:marTop w:val="0"/>
      <w:marBottom w:val="0"/>
      <w:divBdr>
        <w:top w:val="none" w:sz="0" w:space="0" w:color="auto"/>
        <w:left w:val="none" w:sz="0" w:space="0" w:color="auto"/>
        <w:bottom w:val="none" w:sz="0" w:space="0" w:color="auto"/>
        <w:right w:val="none" w:sz="0" w:space="0" w:color="auto"/>
      </w:divBdr>
    </w:div>
    <w:div w:id="2098363668">
      <w:bodyDiv w:val="1"/>
      <w:marLeft w:val="0"/>
      <w:marRight w:val="0"/>
      <w:marTop w:val="0"/>
      <w:marBottom w:val="0"/>
      <w:divBdr>
        <w:top w:val="none" w:sz="0" w:space="0" w:color="auto"/>
        <w:left w:val="none" w:sz="0" w:space="0" w:color="auto"/>
        <w:bottom w:val="none" w:sz="0" w:space="0" w:color="auto"/>
        <w:right w:val="none" w:sz="0" w:space="0" w:color="auto"/>
      </w:divBdr>
    </w:div>
    <w:div w:id="2115635953">
      <w:bodyDiv w:val="1"/>
      <w:marLeft w:val="0"/>
      <w:marRight w:val="0"/>
      <w:marTop w:val="0"/>
      <w:marBottom w:val="0"/>
      <w:divBdr>
        <w:top w:val="none" w:sz="0" w:space="0" w:color="auto"/>
        <w:left w:val="none" w:sz="0" w:space="0" w:color="auto"/>
        <w:bottom w:val="none" w:sz="0" w:space="0" w:color="auto"/>
        <w:right w:val="none" w:sz="0" w:space="0" w:color="auto"/>
      </w:divBdr>
    </w:div>
    <w:div w:id="212437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header" Target="header3.xm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mole\AppData\Roaming\MacroView.Office\Files\Templates\Reports\Branding%20group%203\en\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8CE385582742EEA6234D8A2E696619"/>
        <w:category>
          <w:name w:val="General"/>
          <w:gallery w:val="placeholder"/>
        </w:category>
        <w:types>
          <w:type w:val="bbPlcHdr"/>
        </w:types>
        <w:behaviors>
          <w:behavior w:val="content"/>
        </w:behaviors>
        <w:guid w:val="{67F25AC6-FF7F-4060-ACE0-C1062CBBFD16}"/>
      </w:docPartPr>
      <w:docPartBody>
        <w:p w:rsidR="003A0ADD" w:rsidRDefault="003A0ADD">
          <w:r w:rsidRPr="00945A88">
            <w:rPr>
              <w:i/>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Jacobs Chronos">
    <w:panose1 w:val="020B0603030503030204"/>
    <w:charset w:val="00"/>
    <w:family w:val="swiss"/>
    <w:pitch w:val="variable"/>
    <w:sig w:usb0="A00000EF" w:usb1="0000E0EB" w:usb2="00000008" w:usb3="00000000" w:csb0="00000001" w:csb1="00000000"/>
  </w:font>
  <w:font w:name="Times New Roman">
    <w:panose1 w:val="02020603050405020304"/>
    <w:charset w:val="00"/>
    <w:family w:val="roman"/>
    <w:pitch w:val="variable"/>
    <w:sig w:usb0="E0002EFF" w:usb1="C000785B" w:usb2="00000009" w:usb3="00000000" w:csb0="000001FF" w:csb1="00000000"/>
  </w:font>
  <w:font w:name="Jacobs Chronos Light">
    <w:panose1 w:val="020B0403030503030204"/>
    <w:charset w:val="00"/>
    <w:family w:val="swiss"/>
    <w:pitch w:val="variable"/>
    <w:sig w:usb0="A00000EF" w:usb1="0000E0EB" w:usb2="00000008"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ADD"/>
    <w:rsid w:val="00087891"/>
    <w:rsid w:val="000B3EA4"/>
    <w:rsid w:val="000D7D5B"/>
    <w:rsid w:val="000F7B6C"/>
    <w:rsid w:val="00102A3B"/>
    <w:rsid w:val="001274BF"/>
    <w:rsid w:val="00241016"/>
    <w:rsid w:val="002952A4"/>
    <w:rsid w:val="002B7EDB"/>
    <w:rsid w:val="00326C96"/>
    <w:rsid w:val="003A0ADD"/>
    <w:rsid w:val="003D1A95"/>
    <w:rsid w:val="0067221C"/>
    <w:rsid w:val="00A65588"/>
    <w:rsid w:val="00A759D3"/>
    <w:rsid w:val="00A92B5F"/>
    <w:rsid w:val="00C1451A"/>
    <w:rsid w:val="00C32C4F"/>
    <w:rsid w:val="00CA44A5"/>
    <w:rsid w:val="00DC79B6"/>
    <w:rsid w:val="00F16BFD"/>
    <w:rsid w:val="00F31D69"/>
    <w:rsid w:val="00FD58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i/>
      <w:color w:val="auto"/>
      <w:bdr w:val="none" w:sz="0" w:space="0" w:color="auto"/>
      <w:shd w:val="clear" w:color="auto" w:fill="auto"/>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JacobsBlue">
  <a:themeElements>
    <a:clrScheme name="Jacobs Accents Blue">
      <a:dk1>
        <a:srgbClr val="000000"/>
      </a:dk1>
      <a:lt1>
        <a:srgbClr val="FFFFFF"/>
      </a:lt1>
      <a:dk2>
        <a:srgbClr val="333333"/>
      </a:dk2>
      <a:lt2>
        <a:srgbClr val="E6E6E6"/>
      </a:lt2>
      <a:accent1>
        <a:srgbClr val="231EDC"/>
      </a:accent1>
      <a:accent2>
        <a:srgbClr val="0A7DFF"/>
      </a:accent2>
      <a:accent3>
        <a:srgbClr val="5AE6FF"/>
      </a:accent3>
      <a:accent4>
        <a:srgbClr val="001E55"/>
      </a:accent4>
      <a:accent5>
        <a:srgbClr val="A5A5A5"/>
      </a:accent5>
      <a:accent6>
        <a:srgbClr val="C8C8C8"/>
      </a:accent6>
      <a:hlink>
        <a:srgbClr val="231EDC"/>
      </a:hlink>
      <a:folHlink>
        <a:srgbClr val="E5E5E5"/>
      </a:folHlink>
    </a:clrScheme>
    <a:fontScheme name="JacobsChronos">
      <a:majorFont>
        <a:latin typeface="Jacobs Chronos"/>
        <a:ea typeface=""/>
        <a:cs typeface=""/>
      </a:majorFont>
      <a:minorFont>
        <a:latin typeface="Jacobs Chrono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root xmlns="http://schemas.macroview.com.au/answerfile">
  <Apologies xmlns="http://schemas.macroview.com.au/answerfile"/>
  <Approv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ApprovedBy>
  <ClientName xmlns="http://schemas.macroview.com.au/answerfile">City of Edinburgh Council</ClientName>
  <ClientReference xmlns="http://schemas.macroview.com.au/answerfile"/>
  <CopiesTo xmlns="http://schemas.macroview.com.au/answerfile"/>
  <CvFirstNameSurname xmlns="http://schemas.macroview.com.au/answerfile"/>
  <Date xmlns="http://schemas.macroview.com.au/answerfile">2022-02-25T00:00:00+00:00</Date>
  <DocumentNumber xmlns="http://schemas.macroview.com.au/answerfile"/>
  <DocumentTitle xmlns="http://schemas.macroview.com.au/answerfile">Strategic Environmental Assessment Environmental Report Appendix D</DocumentTitle>
  <Location xmlns="http://schemas.macroview.com.au/answerfile"/>
  <NumberOfPages xmlns="http://schemas.macroview.com.au/answerfile"/>
  <Participants xmlns="http://schemas.macroview.com.au/answerfile"/>
  <ProjectManager xmlns="http://schemas.macroview.com.au/answerfile">
    <Address/>
    <Addresses/>
    <Assistant/>
    <CompanyName/>
    <Country/>
    <Delivery/>
    <Department/>
    <EmailAddress/>
    <ExtensionAttribute3/>
    <ExtensionAttribute4/>
    <ExternalId/>
    <FaxNumber/>
    <FirstName/>
    <FullName>Christine Gracie</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ProjectManager>
  <ProjectName xmlns="http://schemas.macroview.com.au/answerfile">Climate Strategy 2030</ProjectName>
  <ProjectNumber xmlns="http://schemas.macroview.com.au/answerfile">B2340301</ProjectNumber>
  <Recipient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cipient>
  <Review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viewedBy>
  <RevisionNumber xmlns="http://schemas.macroview.com.au/answerfile">0.1</RevisionNumber>
  <Sender xmlns="http://schemas.macroview.com.au/answerfile">
    <Address/>
    <Addresses/>
    <Assistant/>
    <CompanyName/>
    <Country/>
    <Delivery/>
    <Department/>
    <EmailAddress/>
    <ExtensionAttribute3/>
    <ExtensionAttribute4/>
    <ExternalId/>
    <FaxNumber/>
    <FirstName/>
    <FullName>Erika Schmolke</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Sender>
  <Sender2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Sender2>
  <SubHeading xmlns="http://schemas.macroview.com.au/answerfile"/>
  <Subject xmlns="http://schemas.macroview.com.au/answerfile"/>
</root>
</file>

<file path=customXml/item10.xml><?xml version="1.0" encoding="utf-8"?>
<q1:DocumentSettings xmlns:q1="http://schemas.macroview.com.au/documentsettings">
  <q1:NewDocumentMethodName>Report_NewDocument</q1:NewDocumentMethodName>
  <q1:ChangeOfficeMethodName>ChangeOffice_Report</q1:ChangeOfficeMethodName>
  <q1:ConversionSettings>
    <q1:AttachTemplateActionsMethodName>ReportConversionAttachTemplateActions</q1:AttachTemplateActionsMethodName>
    <q1:ParagraphStyleMappingsFileName>Report Proposal Paragraph Style Mappings.xml</q1:ParagraphStyleMappingsFileName>
  </q1:ConversionSettings>
</q1:DocumentSettings>
</file>

<file path=customXml/item11.xml><?xml version="1.0" encoding="utf-8"?>
<q1:Entity xmlns:q1="http://schemas.macroview.com.au/entity">
  <q1:Countries>
    <q1:string/>
    <q1:string/>
  </q1:Countries>
  <q1:Name/>
  <q1:Description/>
  <q1:Web/>
</q1:Entity>
</file>

<file path=customXml/item2.xml><?xml version="1.0" encoding="utf-8"?>
<q1:RibbonSettings xmlns:q1="http://schemas.macroview.com.au/ribbonsettings">
  <q1:IsChangeOfficeVisible>true</q1:IsChangeOfficeVisible>
  <q1:IsCoverPagesVisible>true</q1:IsCoverPagesVisible>
  <q1:IsRefreshTocVisible>true</q1:IsRefreshTocVisible>
  <q1:IsTogglePaperSizeVisible>true</q1:IsTogglePaperSizeVisible>
  <q1:IsToggleMirrorMarginsVisible>true</q1:IsToggleMirrorMarginsVisible>
</q1:RibbonSettings>
</file>

<file path=customXml/item3.xml><?xml version="1.0" encoding="utf-8"?>
<ct:contentTypeSchema xmlns:ct="http://schemas.microsoft.com/office/2006/metadata/contentType" xmlns:ma="http://schemas.microsoft.com/office/2006/metadata/properties/metaAttributes" ct:_="" ma:_="" ma:contentTypeName="Document" ma:contentTypeID="0x01010067C27D107753FA4EA860EDA9D295828B" ma:contentTypeVersion="7" ma:contentTypeDescription="Create a new document." ma:contentTypeScope="" ma:versionID="d21a18e9c2af9f9334455f9ed52b9a2e">
  <xsd:schema xmlns:xsd="http://www.w3.org/2001/XMLSchema" xmlns:xs="http://www.w3.org/2001/XMLSchema" xmlns:p="http://schemas.microsoft.com/office/2006/metadata/properties" xmlns:ns2="17ce0e16-275d-48bb-a940-2c2db0195eea" targetNamespace="http://schemas.microsoft.com/office/2006/metadata/properties" ma:root="true" ma:fieldsID="46b025d517cf09674d74560494ef5e45" ns2:_="">
    <xsd:import namespace="17ce0e16-275d-48bb-a940-2c2db0195ee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ce0e16-275d-48bb-a940-2c2db0195e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q 1 : B r a n d   x m l n s : q 1 = " h t t p : / / s c h e m a s . m a c r o v i e w . c o m . a u / b r a n d " >  
     < q 1 : G r o u p i n g / >  
     < q 1 : L o g o P a t h > C : \ U s e r s \ s c h m o l e \ A p p D a t a \ R o a m i n g \ M a c r o V i e w . O f f i c e \ F i l e s \ A p p S e t t i n g s \ B r a n d s \ J a c o b s . j p g < / q 1 : L o g o P a t h >  
     < q 1 : N a m e > J a c o b s < / q 1 : N a m e >  
 < / q 1 : B r a n d > 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q1:StyleVisibilitySettingsCollection xmlns:q1="http://schemas.macroview.com.au/StyleVisibilitySettingsCollection">
  <q1:SettingsCollection>
    <q1:StyleVisibilitySettings>
      <q1:Name>Body Text</q1:Name>
      <q1:Priority>1</q1:Priority>
      <q1:Visibility>true</q1:Visibility>
    </q1:StyleVisibilitySettings>
    <q1:StyleVisibilitySettings>
      <q1:Name>Heading 1</q1:Name>
      <q1:Priority>1</q1:Priority>
      <q1:Visibility>true</q1:Visibility>
    </q1:StyleVisibilitySettings>
    <q1:StyleVisibilitySettings>
      <q1:Name>Heading 2</q1:Name>
      <q1:Priority>1</q1:Priority>
      <q1:Visibility>true</q1:Visibility>
    </q1:StyleVisibilitySettings>
    <q1:StyleVisibilitySettings>
      <q1:Name>Heading 3</q1:Name>
      <q1:Priority>1</q1:Priority>
      <q1:Visibility>true</q1:Visibility>
    </q1:StyleVisibilitySettings>
    <q1:StyleVisibilitySettings>
      <q1:Name>Heading 4</q1:Name>
      <q1:Priority>1</q1:Priority>
      <q1:Visibility>true</q1:Visibility>
    </q1:StyleVisibilitySettings>
    <q1:StyleVisibilitySettings>
      <q1:Name>Heading 5</q1:Name>
      <q1:Priority>1</q1:Priority>
      <q1:Visibility>true</q1:Visibility>
    </q1:StyleVisibilitySettings>
    <q1:StyleVisibilitySettings>
      <q1:Name>Heading 6</q1:Name>
      <q1:Priority>1</q1:Priority>
      <q1:Visibility>true</q1:Visibility>
    </q1:StyleVisibilitySettings>
    <q1:StyleVisibilitySettings>
      <q1:Name>Heading (unnumbered) 1</q1:Name>
      <q1:Priority>2</q1:Priority>
      <q1:Visibility>true</q1:Visibility>
    </q1:StyleVisibilitySettings>
    <q1:StyleVisibilitySettings>
      <q1:Name>Heading (unnumbered) 2</q1:Name>
      <q1:Priority>2</q1:Priority>
      <q1:Visibility>true</q1:Visibility>
    </q1:StyleVisibilitySettings>
    <q1:StyleVisibilitySettings>
      <q1:Name>Heading (unnumbered) 3</q1:Name>
      <q1:Priority>2</q1:Priority>
      <q1:Visibility>true</q1:Visibility>
    </q1:StyleVisibilitySettings>
    <q1:StyleVisibilitySettings>
      <q1:Name>Body Text 1 Number</q1:Name>
      <q1:Priority>3</q1:Priority>
      <q1:Visibility>true</q1:Visibility>
    </q1:StyleVisibilitySettings>
    <q1:StyleVisibilitySettings>
      <q1:Name>Body Text 2 Letter</q1:Name>
      <q1:Priority>3</q1:Priority>
      <q1:Visibility>true</q1:Visibility>
    </q1:StyleVisibilitySettings>
    <q1:StyleVisibilitySettings>
      <q1:Name>Body Text 3 Roman</q1:Name>
      <q1:Priority>3</q1:Priority>
      <q1:Visibility>true</q1:Visibility>
    </q1:StyleVisibilitySettings>
    <q1:StyleVisibilitySettings>
      <q1:Name>Body Text 4 Number</q1:Name>
      <q1:Priority>3</q1:Priority>
      <q1:Visibility>true</q1:Visibility>
    </q1:StyleVisibilitySettings>
    <q1:StyleVisibilitySettings>
      <q1:Name>Bullet Level 1</q1:Name>
      <q1:Priority>3</q1:Priority>
      <q1:Visibility>true</q1:Visibility>
    </q1:StyleVisibilitySettings>
    <q1:StyleVisibilitySettings>
      <q1:Name>Bullet Level 2</q1:Name>
      <q1:Priority>3</q1:Priority>
      <q1:Visibility>true</q1:Visibility>
    </q1:StyleVisibilitySettings>
    <q1:StyleVisibilitySettings>
      <q1:Name>Bullet Level 3</q1:Name>
      <q1:Priority>3</q1:Priority>
      <q1:Visibility>true</q1:Visibility>
    </q1:StyleVisibilitySettings>
    <q1:StyleVisibilitySettings>
      <q1:Name>Single Sequential</q1:Name>
      <q1:Priority>3</q1:Priority>
      <q1:Visibility>true</q1:Visibility>
    </q1:StyleVisibilitySettings>
    <q1:StyleVisibilitySettings>
      <q1:Name>Sequential 1.1.1 Format</q1:Name>
      <q1:Priority>4</q1:Priority>
      <q1:Visibility>true</q1:Visibility>
    </q1:StyleVisibilitySettings>
    <q1:StyleVisibilitySettings>
      <q1:Name>Table Heading</q1:Name>
      <q1:Priority>4</q1:Priority>
      <q1:Visibility>true</q1:Visibility>
    </q1:StyleVisibilitySettings>
    <q1:StyleVisibilitySettings>
      <q1:Name>Table Heading White</q1:Name>
      <q1:Priority>4</q1:Priority>
      <q1:Visibility>true</q1:Visibility>
    </q1:StyleVisibilitySettings>
    <q1:StyleVisibilitySettings>
      <q1:Name>Table Heading 2</q1:Name>
      <q1:Priority>5</q1:Priority>
      <q1:Visibility>true</q1:Visibility>
    </q1:StyleVisibilitySettings>
    <q1:StyleVisibilitySettings>
      <q1:Name>Table Text</q1:Name>
      <q1:Priority>5</q1:Priority>
      <q1:Visibility>true</q1:Visibility>
    </q1:StyleVisibilitySettings>
    <q1:StyleVisibilitySettings>
      <q1:Name>Table Number</q1:Name>
      <q1:Priority>6</q1:Priority>
      <q1:Visibility>true</q1:Visibility>
    </q1:StyleVisibilitySettings>
    <q1:StyleVisibilitySettings>
      <q1:Name>Table Number 2</q1:Name>
      <q1:Priority>6</q1:Priority>
      <q1:Visibility>true</q1:Visibility>
    </q1:StyleVisibilitySettings>
    <q1:StyleVisibilitySettings>
      <q1:Name>Table Number 3</q1:Name>
      <q1:Priority>6</q1:Priority>
      <q1:Visibility>true</q1:Visibility>
    </q1:StyleVisibilitySettings>
    <q1:StyleVisibilitySettings>
      <q1:Name>Table Bullet</q1:Name>
      <q1:Priority>7</q1:Priority>
      <q1:Visibility>true</q1:Visibility>
    </q1:StyleVisibilitySettings>
    <q1:StyleVisibilitySettings>
      <q1:Name>Table Bullet 2</q1:Name>
      <q1:Priority>7</q1:Priority>
      <q1:Visibility>true</q1:Visibility>
    </q1:StyleVisibilitySettings>
    <q1:StyleVisibilitySettings>
      <q1:Name>Table Bullet 3</q1:Name>
      <q1:Priority>7</q1:Priority>
      <q1:Visibility>true</q1:Visibility>
    </q1:StyleVisibilitySettings>
    <q1:StyleVisibilitySettings>
      <q1:Name>Table Notes</q1:Name>
      <q1:Priority>7</q1:Priority>
      <q1:Visibility>true</q1:Visibility>
    </q1:StyleVisibilitySettings>
    <q1:StyleVisibilitySettings>
      <q1:Name>Table Notes Indented</q1:Name>
      <q1:Priority>7</q1:Priority>
      <q1:Visibility>true</q1:Visibility>
    </q1:StyleVisibilitySettings>
    <q1:StyleVisibilitySettings>
      <q1:Name>Photolog Number</q1:Name>
      <q1:Priority>8</q1:Priority>
      <q1:Visibility>true</q1:Visibility>
    </q1:StyleVisibilitySettings>
    <q1:StyleVisibilitySettings>
      <q1:Name>Quote Text</q1:Name>
      <q1:Priority>8</q1:Priority>
      <q1:Visibility>true</q1:Visibility>
    </q1:StyleVisibilitySettings>
    <q1:StyleVisibilitySettings>
      <q1:Name>Quote Author</q1:Name>
      <q1:Priority>9</q1:Priority>
      <q1:Visibility>true</q1:Visibility>
    </q1:StyleVisibilitySettings>
    <q1:StyleVisibilitySettings>
      <q1:Name>Quote Author Title</q1:Name>
      <q1:Priority>9</q1:Priority>
      <q1:Visibility>true</q1:Visibility>
    </q1:StyleVisibilitySettings>
    <q1:StyleVisibilitySettings>
      <q1:Name>Source/Citation</q1:Name>
      <q1:Priority>9</q1:Priority>
      <q1:Visibility>true</q1:Visibility>
    </q1:StyleVisibilitySettings>
    <q1:StyleVisibilitySettings>
      <q1:Name>Appendix Heading 1</q1:Name>
      <q1:Priority>20</q1:Priority>
      <q1:Visibility>true</q1:Visibility>
    </q1:StyleVisibilitySettings>
    <q1:StyleVisibilitySettings>
      <q1:Name>Appendix Heading 2</q1:Name>
      <q1:Priority>21</q1:Priority>
      <q1:Visibility>true</q1:Visibility>
    </q1:StyleVisibilitySettings>
    <q1:StyleVisibilitySettings>
      <q1:Name>Appendix Heading 3</q1:Name>
      <q1:Priority>21</q1:Priority>
      <q1:Visibility>true</q1:Visibility>
    </q1:StyleVisibilitySettings>
    <q1:StyleVisibilitySettings>
      <q1:Name>Appendix Heading 4</q1:Name>
      <q1:Priority>21</q1:Priority>
      <q1:Visibility>true</q1:Visibility>
    </q1:StyleVisibilitySettings>
    <q1:StyleVisibilitySettings>
      <q1:Name>Normal</q1:Name>
      <q1:Priority>100</q1:Priority>
      <q1:Visibility>true</q1:Visibility>
    </q1:StyleVisibilitySettings>
  </q1:SettingsCollection>
</q1:StyleVisibilitySettingsCollection>
</file>

<file path=customXml/item8.xml>��< ? x m l   v e r s i o n = " 1 . 0 "   e n c o d i n g = " u t f - 1 6 " ? > < q 1 : O f f i c e   x m l n s : q 1 = " h t t p : / / s c h e m a s . m a c r o v i e w . c o m . a u / o f f i c e " >  
     < q 1 : C C D e l i v e r y I t e m s / >  
     < q 1 : C o u n t r y > U n i t e d   K i n g d o m < / q 1 : C o u n t r y >  
     < q 1 : C r e a t e d T i m e > 0 0 0 1 - 0 1 - 0 1 T 0 0 : 0 0 : 0 0 < / q 1 : C r e a t e d T i m e >  
     < q 1 : C u l t u r e C o d e > e n - G B < / q 1 : C u l t u r e C o d e >  
     < q 1 : C u l t u r e S t r i n g s >  
         < q 1 : A t t e n t i o n > A t t e n t i o n < / q 1 : A t t e n t i o n >  
         < q 1 : B e g i n T y p i n g H e r e > B e g i n   t y p i n g   h e r e < / q 1 : B e g i n T y p i n g H e r e >  
         < q 1 : C C > C C < / q 1 : C C >  
         < q 1 : D e a r > D e a r < / q 1 : D e a r >  
         < q 1 : E n c l o s u r e > E n c l < / q 1 : E n c l o s u r e >  
         < q 1 : O t h e r C o n t a c t > O t h e r   c o n t a c t < / q 1 : O t h e r C o n t a c t >  
         < q 1 : O u r R e f > O u r   r e f < / q 1 : O u r R e f >  
         < q 1 : Y o u r R e f > Y o u r   r e f < / q 1 : Y o u r R e f >  
         < q 1 : E x e c u t i v e S u m m a r y > E x e c u t i v e   S u m m a r y < / q 1 : E x e c u t i v e S u m m a r y >  
         < q 1 : P r e p a r e d F o r > P r e p a r e d   f o r < / q 1 : P r e p a r e d F o r >  
         < q 1 : T a b l e O f C o n t e n t s > T a b l e   o f   c o n t e n t s < / q 1 : T a b l e O f C o n t e n t s >  
         < q 1 : T y p e > T y p e < / q 1 : T y p e >  
         < q 1 : T i t l e > T i t l e < / q 1 : T i t l e >  
         < q 1 : D a t e > D a t e < / q 1 : D a t e >  
         < q 1 : P a r t i e s > P a r t i e s < / q 1 : P a r t i e s >  
         < q 1 : R e c i t a l s > R e c i t a l s < / q 1 : R e c i t a l s >  
         < q 1 : O p e r a t i v e P r o v i s i o n s > O p e r a t i v e   p r o v i s i o n s < / q 1 : O p e r a t i v e P r o v i s i o n s >  
         < q 1 : E x e c u t i o n > E x e c u t i o n < / q 1 : E x e c u t i o n >  
         < q 1 : E x e c u t e d > E x e c u t e d < / q 1 : E x e c u t e d >  
         < q 1 : I n s e r t A p p r o p r i a t e E x e c u t i o n C l a u s e F o r E a c h P a r t y H e r e > I n s e r t   a p p r o p r i a t e   e x e c u t i o n   c l a u s e   f o r   e a c h   p a r t y   h e r e < / q 1 : I n s e r t A p p r o p r i a t e E x e c u t i o n C l a u s e F o r E a c h P a r t y H e r e >  
         < q 1 : S i g n o f f N a m e > N a m e < / q 1 : S i g n o f f N a m e >  
         < q 1 : S i g n o f f T i t l e > T i t l e < / q 1 : S i g n o f f T i t l e >  
         < q 1 : S i g n o f f B y > B y < / q 1 : S i g n o f f B y >  
     < / q 1 : C u l t u r e S t r i n g s >  
     < q 1 : D i s p l a y I n E x c e l > t r u e < / q 1 : D i s p l a y I n E x c e l >  
     < q 1 : D i s p l a y I n O u t l o o k > t r u e < / q 1 : D i s p l a y I n O u t l o o k >  
     < q 1 : D i s p l a y I n P o w e r P o i n t > t r u e < / q 1 : D i s p l a y I n P o w e r P o i n t >  
     < q 1 : D i s p l a y I n W o r d > t r u e < / q 1 : D i s p l a y I n W o r d >  
     < q 1 : E x c l u d e d T e m p l a t e s / >  
     < q 1 : F a c s i m i l e N u m b e r > + 4 4   ( 0 ) 1 3 1   2 2 8   6 1 7 7 < / q 1 : F a c s i m i l e N u m b e r >  
     < q 1 : I d > 8 c 5 7 8 c e f - 8 2 1 5 - 4 f 3 7 - 8 6 e a - 2 d 3 5 8 b f d 3 4 d b < / q 1 : I d >  
     < q 1 : I s C u s t o m G a l l e r y 2 V i s i b l e > f a l s e < / q 1 : I s C u s t o m G a l l e r y 2 V i s i b l e >  
     < q 1 : L e g a l N o t i c e I t e m s / >  
     < q 1 : L e t t e r h e a d >  
         < q 1 : F o o t e r P a r a g r a p h S p a c e B e f o r e > 0 < / q 1 : F o o t e r P a r a g r a p h S p a c e B e f o r e >  
         < q 1 : H e a d e r P a r a g r a p h S p a c e A f t e r > 0 < / q 1 : H e a d e r P a r a g r a p h S p a c e A f t e r >  
     < / q 1 : L e t t e r h e a d >  
     < q 1 : L o g o >  
         < q 1 : H e i g h t   d 3 p 1 : n i l = " t r u e "   x m l n s : d 3 p 1 = " h t t p : / / w w w . w 3 . o r g / 2 0 0 1 / X M L S c h e m a - i n s t a n c e " / >  
     < / q 1 : L o g o >  
     < q 1 : L o n g D a t e F o r m a t > d   M M M M   y y y y < / q 1 : L o n g D a t e F o r m a t >  
     < q 1 : M o d i f i e d T i m e > 0 0 0 1 - 0 1 - 0 1 T 0 0 : 0 0 : 0 0 < / q 1 : M o d i f i e d T i m e >  
     < q 1 : M u l t i l i n e A d d r e s s > 1 6 0   D u n d e e   S t r e e t  
 E d i n b u r g h ,   E H 1 1   1 D Q  
 U n i t e d   K i n g d o m < / q 1 : M u l t i l i n e A d d r e s s >  
     < q 1 : N a m e > E d i n b u r g h < / q 1 : N a m e >  
     < q 1 : P a p e r S i z e   d 2 p 1 : n i l = " t r u e "   x m l n s : d 2 p 1 = " h t t p : / / w w w . w 3 . o r g / 2 0 0 1 / X M L S c h e m a - i n s t a n c e " / >  
     < q 1 : P h o n e N u m b e r > + 4 4   ( 0 ) 1 3 1   6 5 9   1 5 0 0 < / q 1 : P h o n e N u m b e r >  
     < q 1 : P o s t a l A d d r e s s >  
         < q 1 : T y p e > M a i l i n g A d d r e s s < / q 1 : T y p e >  
     < / q 1 : P o s t a l A d d r e s s >  
     < q 1 : P r i v a c y I t e m s / >  
     < q 1 : R e c i p i e n t D e l i v e r y I t e m s / >  
     < q 1 : S a l u t a t i o n I t e m s / >  
     < q 1 : S i g n o f f I t e m s / >  
     < q 1 : S t r e e t A d d r e s s >  
         < q 1 : T y p e > M a i l i n g A d d r e s s < / q 1 : T y p e >  
     < / q 1 : S t r e e t A d d r e s s >  
     < q 1 : T e m p l a t e G r o u p i n g s >  
         < q 1 : s t r i n g > E d i n b u r g h < / q 1 : s t r i n g >  
         < q 1 : s t r i n g > E d i n b u r g h < / q 1 : s t r i n g >  
         < q 1 : s t r i n g > e n < / q 1 : s t r i n g >  
     < / q 1 : T e m p l a t e G r o u p i n g s >  
     < q 1 : W e b s i t e > w w w . j a c o b s . c o m < / q 1 : W e b s i t e >  
 < / q 1 : O f f i c e > 
</file>

<file path=customXml/item9.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33FB8F-8118-4915-86A8-F93B7C2B254E}">
  <ds:schemaRefs>
    <ds:schemaRef ds:uri="http://schemas.macroview.com.au/answerfile"/>
  </ds:schemaRefs>
</ds:datastoreItem>
</file>

<file path=customXml/itemProps10.xml><?xml version="1.0" encoding="utf-8"?>
<ds:datastoreItem xmlns:ds="http://schemas.openxmlformats.org/officeDocument/2006/customXml" ds:itemID="{F745B0E8-9C7D-47CD-9756-F12F6E6FD4A6}">
  <ds:schemaRefs>
    <ds:schemaRef ds:uri="http://schemas.macroview.com.au/documentsettings"/>
  </ds:schemaRefs>
</ds:datastoreItem>
</file>

<file path=customXml/itemProps11.xml><?xml version="1.0" encoding="utf-8"?>
<ds:datastoreItem xmlns:ds="http://schemas.openxmlformats.org/officeDocument/2006/customXml" ds:itemID="{EE3ABECF-B324-4CC2-ABE2-C2EE62CAA5EE}">
  <ds:schemaRefs>
    <ds:schemaRef ds:uri="http://schemas.macroview.com.au/entity"/>
  </ds:schemaRefs>
</ds:datastoreItem>
</file>

<file path=customXml/itemProps2.xml><?xml version="1.0" encoding="utf-8"?>
<ds:datastoreItem xmlns:ds="http://schemas.openxmlformats.org/officeDocument/2006/customXml" ds:itemID="{EBA198BC-CC5A-4C5B-B12C-7FF201E06B09}">
  <ds:schemaRefs>
    <ds:schemaRef ds:uri="http://schemas.macroview.com.au/ribbonsettings"/>
  </ds:schemaRefs>
</ds:datastoreItem>
</file>

<file path=customXml/itemProps3.xml><?xml version="1.0" encoding="utf-8"?>
<ds:datastoreItem xmlns:ds="http://schemas.openxmlformats.org/officeDocument/2006/customXml" ds:itemID="{508D2B7A-E5FC-4DBB-8FBA-E784C7431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ce0e16-275d-48bb-a940-2c2db0195e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4CAA3D-8756-452F-BCEC-36A9A4AA1CA9}">
  <ds:schemaRefs>
    <ds:schemaRef ds:uri="http://schemas.openxmlformats.org/officeDocument/2006/bibliography"/>
  </ds:schemaRefs>
</ds:datastoreItem>
</file>

<file path=customXml/itemProps5.xml><?xml version="1.0" encoding="utf-8"?>
<ds:datastoreItem xmlns:ds="http://schemas.openxmlformats.org/officeDocument/2006/customXml" ds:itemID="{C4D0622A-8F23-414D-B9C8-AF769FEAA4B4}">
  <ds:schemaRefs>
    <ds:schemaRef ds:uri="http://schemas.macroview.com.au/brand"/>
  </ds:schemaRefs>
</ds:datastoreItem>
</file>

<file path=customXml/itemProps6.xml><?xml version="1.0" encoding="utf-8"?>
<ds:datastoreItem xmlns:ds="http://schemas.openxmlformats.org/officeDocument/2006/customXml" ds:itemID="{177C84D0-13EE-469D-A04E-73E6507798E1}">
  <ds:schemaRefs>
    <ds:schemaRef ds:uri="http://schemas.microsoft.com/sharepoint/v3/contenttype/forms"/>
  </ds:schemaRefs>
</ds:datastoreItem>
</file>

<file path=customXml/itemProps7.xml><?xml version="1.0" encoding="utf-8"?>
<ds:datastoreItem xmlns:ds="http://schemas.openxmlformats.org/officeDocument/2006/customXml" ds:itemID="{17C16B15-DA81-4F30-898C-369246EDDE08}">
  <ds:schemaRefs>
    <ds:schemaRef ds:uri="http://schemas.macroview.com.au/StyleVisibilitySettingsCollection"/>
  </ds:schemaRefs>
</ds:datastoreItem>
</file>

<file path=customXml/itemProps8.xml><?xml version="1.0" encoding="utf-8"?>
<ds:datastoreItem xmlns:ds="http://schemas.openxmlformats.org/officeDocument/2006/customXml" ds:itemID="{DAAC4B2A-F940-41B1-A09D-786F93F379CA}">
  <ds:schemaRefs>
    <ds:schemaRef ds:uri="http://schemas.macroview.com.au/office"/>
  </ds:schemaRefs>
</ds:datastoreItem>
</file>

<file path=customXml/itemProps9.xml><?xml version="1.0" encoding="utf-8"?>
<ds:datastoreItem xmlns:ds="http://schemas.openxmlformats.org/officeDocument/2006/customXml" ds:itemID="{087FB988-308A-4918-8D65-13EFE8F21FE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Report</Template>
  <TotalTime>63</TotalTime>
  <Pages>10</Pages>
  <Words>4412</Words>
  <Characters>25154</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Schmolke, Erika</dc:creator>
  <cp:keywords/>
  <dc:description/>
  <cp:lastModifiedBy>Schmolke, Erika</cp:lastModifiedBy>
  <cp:revision>10</cp:revision>
  <dcterms:created xsi:type="dcterms:W3CDTF">2022-07-28T12:09:00Z</dcterms:created>
  <dcterms:modified xsi:type="dcterms:W3CDTF">2022-08-03T14:27:00Z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Set">
    <vt:lpwstr>Jacobs en.dotx</vt:lpwstr>
  </property>
  <property fmtid="{D5CDD505-2E9C-101B-9397-08002B2CF9AE}" pid="3" name="ContentTypeId">
    <vt:lpwstr>0x01010067C27D107753FA4EA860EDA9D295828B</vt:lpwstr>
  </property>
</Properties>
</file>