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C3A63" w14:textId="31AD79A5" w:rsidR="00934205" w:rsidRPr="009B6B3C" w:rsidRDefault="00934205" w:rsidP="009B6B3C">
      <w:pPr>
        <w:jc w:val="center"/>
        <w:rPr>
          <w:b/>
          <w:bCs/>
          <w:u w:val="single"/>
        </w:rPr>
      </w:pPr>
      <w:r w:rsidRPr="009B6B3C">
        <w:rPr>
          <w:b/>
          <w:bCs/>
          <w:u w:val="single"/>
        </w:rPr>
        <w:t xml:space="preserve">Appendix </w:t>
      </w:r>
      <w:r w:rsidR="006D5CCA">
        <w:rPr>
          <w:b/>
          <w:bCs/>
          <w:u w:val="single"/>
        </w:rPr>
        <w:t>2</w:t>
      </w:r>
      <w:r w:rsidRPr="009B6B3C">
        <w:rPr>
          <w:b/>
          <w:bCs/>
          <w:u w:val="single"/>
        </w:rPr>
        <w:t>: Towards West Edinburgh 2050 – report of consultation</w:t>
      </w:r>
    </w:p>
    <w:p w14:paraId="36CDC570" w14:textId="21319F8B" w:rsidR="00934205" w:rsidRPr="009B6B3C" w:rsidRDefault="009B6B3C" w:rsidP="009B6B3C">
      <w:pPr>
        <w:pStyle w:val="ListParagraph"/>
        <w:numPr>
          <w:ilvl w:val="0"/>
          <w:numId w:val="37"/>
        </w:numPr>
        <w:jc w:val="both"/>
        <w:rPr>
          <w:b/>
          <w:bCs/>
        </w:rPr>
      </w:pPr>
      <w:r w:rsidRPr="009B6B3C">
        <w:rPr>
          <w:b/>
          <w:bCs/>
        </w:rPr>
        <w:t>Introduction</w:t>
      </w:r>
    </w:p>
    <w:p w14:paraId="6947442A" w14:textId="77777777" w:rsidR="009B6B3C" w:rsidRDefault="009B6B3C" w:rsidP="009B6B3C">
      <w:pPr>
        <w:pStyle w:val="ListParagraph"/>
        <w:ind w:left="792"/>
        <w:jc w:val="both"/>
      </w:pPr>
    </w:p>
    <w:p w14:paraId="45BCED5E" w14:textId="58B96E84" w:rsidR="009B6B3C" w:rsidRDefault="009B6B3C" w:rsidP="00514A66">
      <w:pPr>
        <w:pStyle w:val="ListParagraph"/>
        <w:numPr>
          <w:ilvl w:val="1"/>
          <w:numId w:val="37"/>
        </w:numPr>
        <w:ind w:hanging="792"/>
        <w:jc w:val="both"/>
      </w:pPr>
      <w:r w:rsidRPr="00A91BB9">
        <w:rPr>
          <w:i/>
          <w:iCs/>
        </w:rPr>
        <w:t>Towards West Edinburgh 2050</w:t>
      </w:r>
      <w:r>
        <w:t xml:space="preserve"> is the proposed long-term spatial strategy for the development of West Edinburgh.</w:t>
      </w:r>
      <w:r w:rsidR="00A91BB9">
        <w:t xml:space="preserve"> It has been prepared by AECOM, Collective Architecture, and Rettie on behalf of the City of Edinburgh Council, Scottish Enterprise, the Scottish Futures Trust, and the Scottish Government.</w:t>
      </w:r>
    </w:p>
    <w:p w14:paraId="015E163E" w14:textId="77777777" w:rsidR="00A91BB9" w:rsidRDefault="00A91BB9" w:rsidP="00514A66">
      <w:pPr>
        <w:pStyle w:val="ListParagraph"/>
        <w:ind w:left="792" w:hanging="792"/>
        <w:jc w:val="both"/>
      </w:pPr>
    </w:p>
    <w:p w14:paraId="6B8D3247" w14:textId="7CB94E2F" w:rsidR="00A91BB9" w:rsidRDefault="00834F92" w:rsidP="00514A66">
      <w:pPr>
        <w:pStyle w:val="ListParagraph"/>
        <w:numPr>
          <w:ilvl w:val="1"/>
          <w:numId w:val="37"/>
        </w:numPr>
        <w:ind w:hanging="792"/>
        <w:jc w:val="both"/>
      </w:pPr>
      <w:r w:rsidRPr="00834F92">
        <w:rPr>
          <w:i/>
          <w:iCs/>
        </w:rPr>
        <w:t>Towards West Edinburgh 2050</w:t>
      </w:r>
      <w:r>
        <w:t xml:space="preserve"> sets out a high-level vision for how West Edinburgh should develop over the next few decades. It is intended to inform infrastructure investment plans and policies such as the local development plans.</w:t>
      </w:r>
    </w:p>
    <w:p w14:paraId="54790896" w14:textId="77777777" w:rsidR="00A91BB9" w:rsidRDefault="00A91BB9" w:rsidP="00514A66">
      <w:pPr>
        <w:pStyle w:val="ListParagraph"/>
        <w:ind w:left="792" w:hanging="792"/>
        <w:jc w:val="both"/>
      </w:pPr>
    </w:p>
    <w:p w14:paraId="6EB943ED" w14:textId="62F8910F" w:rsidR="00A91BB9" w:rsidRPr="009B6B3C" w:rsidRDefault="00A91BB9" w:rsidP="00514A66">
      <w:pPr>
        <w:pStyle w:val="ListParagraph"/>
        <w:numPr>
          <w:ilvl w:val="1"/>
          <w:numId w:val="37"/>
        </w:numPr>
        <w:ind w:hanging="792"/>
        <w:jc w:val="both"/>
      </w:pPr>
      <w:r>
        <w:t xml:space="preserve">The stage two </w:t>
      </w:r>
      <w:r w:rsidRPr="00A91BB9">
        <w:rPr>
          <w:i/>
          <w:iCs/>
        </w:rPr>
        <w:t>Towards West Edinburgh 2050</w:t>
      </w:r>
      <w:r>
        <w:t xml:space="preserve"> report was produced in July 2023. The Council subsequently carried out consultation on </w:t>
      </w:r>
      <w:r w:rsidRPr="00A91BB9">
        <w:rPr>
          <w:i/>
          <w:iCs/>
        </w:rPr>
        <w:t>Towards West Edinburgh 2050</w:t>
      </w:r>
      <w:r>
        <w:t>.</w:t>
      </w:r>
    </w:p>
    <w:p w14:paraId="2A3405D6" w14:textId="77777777" w:rsidR="009B6B3C" w:rsidRDefault="009B6B3C" w:rsidP="009B6B3C">
      <w:pPr>
        <w:pStyle w:val="ListParagraph"/>
        <w:ind w:left="360"/>
        <w:jc w:val="both"/>
      </w:pPr>
    </w:p>
    <w:p w14:paraId="6451C3ED" w14:textId="7E053E4D" w:rsidR="009B6B3C" w:rsidRPr="009B6B3C" w:rsidRDefault="009B6B3C" w:rsidP="009B6B3C">
      <w:pPr>
        <w:pStyle w:val="ListParagraph"/>
        <w:numPr>
          <w:ilvl w:val="0"/>
          <w:numId w:val="37"/>
        </w:numPr>
        <w:jc w:val="both"/>
        <w:rPr>
          <w:b/>
          <w:bCs/>
        </w:rPr>
      </w:pPr>
      <w:r w:rsidRPr="009B6B3C">
        <w:rPr>
          <w:b/>
          <w:bCs/>
        </w:rPr>
        <w:t>Consultation process</w:t>
      </w:r>
    </w:p>
    <w:p w14:paraId="0C4995D2" w14:textId="77777777" w:rsidR="009B6B3C" w:rsidRDefault="009B6B3C" w:rsidP="009B6B3C">
      <w:pPr>
        <w:pStyle w:val="ListParagraph"/>
        <w:ind w:left="792"/>
        <w:jc w:val="both"/>
      </w:pPr>
    </w:p>
    <w:p w14:paraId="63F4DE95" w14:textId="42F0DA76" w:rsidR="00DC57F9" w:rsidRDefault="009B6B3C" w:rsidP="00514A66">
      <w:pPr>
        <w:pStyle w:val="ListParagraph"/>
        <w:numPr>
          <w:ilvl w:val="1"/>
          <w:numId w:val="37"/>
        </w:numPr>
        <w:ind w:hanging="792"/>
        <w:jc w:val="both"/>
      </w:pPr>
      <w:r w:rsidRPr="009B6B3C">
        <w:t>A</w:t>
      </w:r>
      <w:r w:rsidR="00A33B88">
        <w:t xml:space="preserve">n online </w:t>
      </w:r>
      <w:r w:rsidR="00DC57F9">
        <w:t xml:space="preserve">consultation on </w:t>
      </w:r>
      <w:r w:rsidR="00DC57F9" w:rsidRPr="00A33B88">
        <w:rPr>
          <w:i/>
          <w:iCs/>
        </w:rPr>
        <w:t>Towards West Edinburgh</w:t>
      </w:r>
      <w:r w:rsidR="00A33B88" w:rsidRPr="00A33B88">
        <w:rPr>
          <w:i/>
          <w:iCs/>
        </w:rPr>
        <w:t xml:space="preserve"> 2050</w:t>
      </w:r>
      <w:r w:rsidR="00DC57F9">
        <w:t xml:space="preserve"> ran from 17</w:t>
      </w:r>
      <w:r w:rsidR="00DC57F9" w:rsidRPr="00DC57F9">
        <w:rPr>
          <w:vertAlign w:val="superscript"/>
        </w:rPr>
        <w:t>th</w:t>
      </w:r>
      <w:r w:rsidR="00DC57F9">
        <w:t xml:space="preserve"> July 2023 to 10</w:t>
      </w:r>
      <w:r w:rsidR="00DC57F9" w:rsidRPr="00DC57F9">
        <w:rPr>
          <w:vertAlign w:val="superscript"/>
        </w:rPr>
        <w:t>th</w:t>
      </w:r>
      <w:r w:rsidR="00DC57F9">
        <w:t xml:space="preserve"> October 2023</w:t>
      </w:r>
      <w:r w:rsidR="00A33B88">
        <w:t xml:space="preserve"> on the Council’s Consultation Hub</w:t>
      </w:r>
      <w:r w:rsidR="00DC57F9">
        <w:t>, receiving a total of 203 responses.</w:t>
      </w:r>
      <w:r w:rsidR="00A33B88">
        <w:t xml:space="preserve"> Additionally, 16 more in-depth responses were submitted directly to the Council.</w:t>
      </w:r>
    </w:p>
    <w:p w14:paraId="15AD776A" w14:textId="77777777" w:rsidR="00A33B88" w:rsidRDefault="00A33B88" w:rsidP="00514A66">
      <w:pPr>
        <w:pStyle w:val="ListParagraph"/>
        <w:ind w:left="792" w:hanging="792"/>
        <w:jc w:val="both"/>
      </w:pPr>
    </w:p>
    <w:p w14:paraId="0718640D" w14:textId="567C365C" w:rsidR="00A33B88" w:rsidRDefault="00A33B88" w:rsidP="00514A66">
      <w:pPr>
        <w:pStyle w:val="ListParagraph"/>
        <w:numPr>
          <w:ilvl w:val="1"/>
          <w:numId w:val="37"/>
        </w:numPr>
        <w:ind w:hanging="792"/>
        <w:jc w:val="both"/>
      </w:pPr>
      <w:r>
        <w:t xml:space="preserve">To supplement the online consultation, </w:t>
      </w:r>
      <w:r w:rsidR="00F84B6E">
        <w:t>two drop</w:t>
      </w:r>
      <w:r w:rsidR="00BB2BFB">
        <w:t>-</w:t>
      </w:r>
      <w:r w:rsidR="00F84B6E">
        <w:t>in sessions were staged: one at Kirkliston Parish Church on 29</w:t>
      </w:r>
      <w:r w:rsidR="00F84B6E" w:rsidRPr="00F84B6E">
        <w:rPr>
          <w:vertAlign w:val="superscript"/>
        </w:rPr>
        <w:t>th</w:t>
      </w:r>
      <w:r w:rsidR="00F84B6E">
        <w:t xml:space="preserve"> August 2023, and one at </w:t>
      </w:r>
      <w:r w:rsidR="00BB2BFB" w:rsidRPr="00BB2BFB">
        <w:t>Delta Hotels by Marriott Edinburgh</w:t>
      </w:r>
      <w:r w:rsidR="00BB2BFB">
        <w:t xml:space="preserve"> on 30</w:t>
      </w:r>
      <w:r w:rsidR="00BB2BFB" w:rsidRPr="00BB2BFB">
        <w:rPr>
          <w:vertAlign w:val="superscript"/>
        </w:rPr>
        <w:t>th</w:t>
      </w:r>
      <w:r w:rsidR="00BB2BFB">
        <w:t xml:space="preserve"> August 2023. These events were staffed by Council officers and a member of the design team and gave attendees the opportunity to ask questions about </w:t>
      </w:r>
      <w:r w:rsidR="00BB2BFB" w:rsidRPr="00A33B88">
        <w:rPr>
          <w:i/>
          <w:iCs/>
        </w:rPr>
        <w:t>Towards West Edinburgh 2050</w:t>
      </w:r>
      <w:r w:rsidR="00BB2BFB">
        <w:t>.</w:t>
      </w:r>
    </w:p>
    <w:p w14:paraId="3BFFA43B" w14:textId="77777777" w:rsidR="00A33B88" w:rsidRDefault="00A33B88" w:rsidP="00514A66">
      <w:pPr>
        <w:pStyle w:val="ListParagraph"/>
        <w:ind w:left="792" w:hanging="792"/>
        <w:jc w:val="both"/>
      </w:pPr>
    </w:p>
    <w:p w14:paraId="10301298" w14:textId="612EA304" w:rsidR="00F84B6E" w:rsidRDefault="00F84B6E" w:rsidP="00514A66">
      <w:pPr>
        <w:pStyle w:val="ListParagraph"/>
        <w:numPr>
          <w:ilvl w:val="1"/>
          <w:numId w:val="37"/>
        </w:numPr>
        <w:ind w:hanging="792"/>
        <w:jc w:val="both"/>
      </w:pPr>
      <w:r>
        <w:t xml:space="preserve">The consultation on Towards West Edinburgh 2050 was aligned with two other consultations concerning West Edinburgh that ran concurrently: </w:t>
      </w:r>
      <w:r w:rsidRPr="00F84B6E">
        <w:t>Broxburn to Maybury Public Transport and Active Travel Improvements</w:t>
      </w:r>
      <w:r>
        <w:t xml:space="preserve"> and the </w:t>
      </w:r>
      <w:r w:rsidRPr="00F84B6E">
        <w:t>West Edinburgh Placemaking Framework and Strategic Masterplan</w:t>
      </w:r>
      <w:r>
        <w:t>.</w:t>
      </w:r>
    </w:p>
    <w:p w14:paraId="677F5914" w14:textId="77777777" w:rsidR="00F84B6E" w:rsidRDefault="00F84B6E" w:rsidP="00514A66">
      <w:pPr>
        <w:pStyle w:val="ListParagraph"/>
        <w:ind w:hanging="792"/>
      </w:pPr>
    </w:p>
    <w:p w14:paraId="36D4061D" w14:textId="5DC36BE1" w:rsidR="00ED0F38" w:rsidRDefault="00F84B6E" w:rsidP="00514A66">
      <w:pPr>
        <w:pStyle w:val="ListParagraph"/>
        <w:numPr>
          <w:ilvl w:val="1"/>
          <w:numId w:val="37"/>
        </w:numPr>
        <w:ind w:hanging="792"/>
        <w:jc w:val="both"/>
      </w:pPr>
      <w:r>
        <w:t xml:space="preserve">The consultation </w:t>
      </w:r>
      <w:r w:rsidR="00BB2BFB">
        <w:t xml:space="preserve">was promoted via </w:t>
      </w:r>
      <w:r w:rsidR="00ED0F38">
        <w:t>various channels, including social media (228,000 impressions); digital advertising (</w:t>
      </w:r>
      <w:r w:rsidR="00A36301">
        <w:t>1</w:t>
      </w:r>
      <w:r w:rsidR="00ED0F38">
        <w:t xml:space="preserve">.35 million impressions), advertisements on </w:t>
      </w:r>
      <w:r w:rsidR="00ED0F38" w:rsidRPr="00ED0F38">
        <w:rPr>
          <w:i/>
          <w:iCs/>
        </w:rPr>
        <w:t>Total Forth</w:t>
      </w:r>
      <w:r w:rsidR="00ED0F38">
        <w:t xml:space="preserve"> radio (reach of 362,650), lamppost wrapping, and a pop-up stand at the Gyle shopping centre on 23</w:t>
      </w:r>
      <w:r w:rsidR="00ED0F38" w:rsidRPr="00ED0F38">
        <w:rPr>
          <w:vertAlign w:val="superscript"/>
        </w:rPr>
        <w:t>rd</w:t>
      </w:r>
      <w:r w:rsidR="00ED0F38">
        <w:t xml:space="preserve"> August 2023.</w:t>
      </w:r>
    </w:p>
    <w:p w14:paraId="1213B11A" w14:textId="77777777" w:rsidR="00ED0F38" w:rsidRDefault="00ED0F38" w:rsidP="009B6B3C">
      <w:pPr>
        <w:pStyle w:val="ListParagraph"/>
        <w:ind w:left="360"/>
        <w:jc w:val="both"/>
      </w:pPr>
    </w:p>
    <w:p w14:paraId="2CE35995" w14:textId="6DB0F81D" w:rsidR="009B6B3C" w:rsidRPr="009B6B3C" w:rsidRDefault="00A36301" w:rsidP="009B6B3C">
      <w:pPr>
        <w:pStyle w:val="ListParagraph"/>
        <w:numPr>
          <w:ilvl w:val="0"/>
          <w:numId w:val="37"/>
        </w:numPr>
        <w:jc w:val="both"/>
        <w:rPr>
          <w:b/>
          <w:bCs/>
        </w:rPr>
      </w:pPr>
      <w:r>
        <w:rPr>
          <w:b/>
          <w:bCs/>
        </w:rPr>
        <w:t>Online</w:t>
      </w:r>
      <w:r w:rsidR="009B6B3C" w:rsidRPr="009B6B3C">
        <w:rPr>
          <w:b/>
          <w:bCs/>
        </w:rPr>
        <w:t xml:space="preserve"> consultation </w:t>
      </w:r>
      <w:r w:rsidR="00ED0F38">
        <w:rPr>
          <w:b/>
          <w:bCs/>
        </w:rPr>
        <w:t>responses</w:t>
      </w:r>
    </w:p>
    <w:p w14:paraId="54C90D79" w14:textId="77777777" w:rsidR="009B6B3C" w:rsidRDefault="009B6B3C" w:rsidP="009B6B3C">
      <w:pPr>
        <w:pStyle w:val="ListParagraph"/>
        <w:ind w:left="792"/>
        <w:jc w:val="both"/>
      </w:pPr>
    </w:p>
    <w:p w14:paraId="36AD81FE" w14:textId="79D222BF" w:rsidR="00CA3F99" w:rsidRDefault="009B6B3C" w:rsidP="00514A66">
      <w:pPr>
        <w:pStyle w:val="ListParagraph"/>
        <w:numPr>
          <w:ilvl w:val="1"/>
          <w:numId w:val="37"/>
        </w:numPr>
        <w:ind w:hanging="792"/>
        <w:jc w:val="both"/>
      </w:pPr>
      <w:r w:rsidRPr="009B6B3C">
        <w:t>A</w:t>
      </w:r>
      <w:r w:rsidR="00A36301">
        <w:t>s noted, the online consultation attracted a total of 203 responses.</w:t>
      </w:r>
      <w:r w:rsidR="00682329">
        <w:t xml:space="preserve"> 187 (92.1%) were from individuals, while 16 (7.9%) were from organisations</w:t>
      </w:r>
      <w:r w:rsidR="00CA3F99">
        <w:t xml:space="preserve"> (of which 11 were private sector, three were third and voluntary sector, and two were public sector)</w:t>
      </w:r>
      <w:r w:rsidR="00682329">
        <w:t xml:space="preserve">. </w:t>
      </w:r>
      <w:r w:rsidR="00263D0B" w:rsidRPr="00263D0B">
        <w:t>153</w:t>
      </w:r>
      <w:r w:rsidR="00263D0B">
        <w:t xml:space="preserve"> (</w:t>
      </w:r>
      <w:r w:rsidR="00263D0B" w:rsidRPr="00263D0B">
        <w:t>75.</w:t>
      </w:r>
      <w:r w:rsidR="00263D0B">
        <w:t>4</w:t>
      </w:r>
      <w:r w:rsidR="00263D0B" w:rsidRPr="00263D0B">
        <w:t>%</w:t>
      </w:r>
      <w:r w:rsidR="00263D0B">
        <w:t>) of respondents declared that they considered themselves to live in West Edinburgh.</w:t>
      </w:r>
    </w:p>
    <w:p w14:paraId="4D3975BB" w14:textId="77777777" w:rsidR="00263D0B" w:rsidRDefault="00263D0B" w:rsidP="00514A66">
      <w:pPr>
        <w:pStyle w:val="ListParagraph"/>
        <w:ind w:left="792" w:hanging="792"/>
        <w:jc w:val="both"/>
      </w:pPr>
    </w:p>
    <w:p w14:paraId="01A78D7A" w14:textId="092515CD" w:rsidR="00682329" w:rsidRDefault="009A44AF" w:rsidP="00514A66">
      <w:pPr>
        <w:pStyle w:val="ListParagraph"/>
        <w:numPr>
          <w:ilvl w:val="1"/>
          <w:numId w:val="37"/>
        </w:numPr>
        <w:ind w:hanging="792"/>
        <w:jc w:val="both"/>
      </w:pPr>
      <w:r>
        <w:t>Respondents were asked whether they agreed or disagreed with various statements about the strengths of West Edinburgh. The responses t</w:t>
      </w:r>
      <w:r w:rsidR="00C56375">
        <w:t>o this question are set out below, sorted in descending order based on the proportion of respondents answering positively.</w:t>
      </w:r>
      <w:r>
        <w:t xml:space="preserve"> </w:t>
      </w:r>
    </w:p>
    <w:p w14:paraId="253E3A8B" w14:textId="77777777" w:rsidR="00682329" w:rsidRDefault="00682329" w:rsidP="00682329">
      <w:pPr>
        <w:pStyle w:val="ListParagraph"/>
      </w:pPr>
    </w:p>
    <w:tbl>
      <w:tblPr>
        <w:tblStyle w:val="TableGrid"/>
        <w:tblW w:w="0" w:type="auto"/>
        <w:tblInd w:w="-147" w:type="dxa"/>
        <w:tblLook w:val="04A0" w:firstRow="1" w:lastRow="0" w:firstColumn="1" w:lastColumn="0" w:noHBand="0" w:noVBand="1"/>
      </w:tblPr>
      <w:tblGrid>
        <w:gridCol w:w="4390"/>
        <w:gridCol w:w="850"/>
        <w:gridCol w:w="714"/>
        <w:gridCol w:w="917"/>
        <w:gridCol w:w="764"/>
        <w:gridCol w:w="764"/>
        <w:gridCol w:w="764"/>
      </w:tblGrid>
      <w:tr w:rsidR="009A44AF" w14:paraId="50EFDF79" w14:textId="77777777" w:rsidTr="009A44AF">
        <w:trPr>
          <w:cantSplit/>
          <w:trHeight w:val="1134"/>
        </w:trPr>
        <w:tc>
          <w:tcPr>
            <w:tcW w:w="4395" w:type="dxa"/>
            <w:shd w:val="clear" w:color="auto" w:fill="D9D9D9" w:themeFill="background1" w:themeFillShade="D9"/>
            <w:vAlign w:val="center"/>
          </w:tcPr>
          <w:p w14:paraId="5F5D2319" w14:textId="000D7CF6" w:rsidR="009A44AF" w:rsidRPr="009A44AF" w:rsidRDefault="009A44AF" w:rsidP="009A44AF">
            <w:pPr>
              <w:pStyle w:val="ListParagraph"/>
              <w:ind w:left="0"/>
              <w:jc w:val="center"/>
              <w:rPr>
                <w:b/>
                <w:bCs/>
                <w:sz w:val="20"/>
                <w:szCs w:val="20"/>
              </w:rPr>
            </w:pPr>
            <w:r w:rsidRPr="009A44AF">
              <w:rPr>
                <w:rFonts w:ascii="Calibri" w:hAnsi="Calibri" w:cs="Calibri"/>
                <w:b/>
                <w:bCs/>
                <w:color w:val="000000"/>
                <w:sz w:val="20"/>
                <w:szCs w:val="20"/>
              </w:rPr>
              <w:lastRenderedPageBreak/>
              <w:t>Statement</w:t>
            </w:r>
            <w:r w:rsidR="000C5AF3">
              <w:rPr>
                <w:rFonts w:ascii="Calibri" w:hAnsi="Calibri" w:cs="Calibri"/>
                <w:b/>
                <w:bCs/>
                <w:color w:val="000000"/>
                <w:sz w:val="20"/>
                <w:szCs w:val="20"/>
              </w:rPr>
              <w:t xml:space="preserve"> about the strengths of West Edinburgh</w:t>
            </w:r>
          </w:p>
        </w:tc>
        <w:tc>
          <w:tcPr>
            <w:tcW w:w="850" w:type="dxa"/>
            <w:shd w:val="clear" w:color="auto" w:fill="D9D9D9" w:themeFill="background1" w:themeFillShade="D9"/>
            <w:textDirection w:val="btLr"/>
            <w:vAlign w:val="center"/>
          </w:tcPr>
          <w:p w14:paraId="4D093B0E" w14:textId="205DDFE0" w:rsidR="009A44AF" w:rsidRPr="009A44AF" w:rsidRDefault="009A44AF" w:rsidP="009A44AF">
            <w:pPr>
              <w:pStyle w:val="ListParagraph"/>
              <w:ind w:left="113" w:right="113"/>
              <w:jc w:val="center"/>
              <w:rPr>
                <w:b/>
                <w:bCs/>
                <w:sz w:val="20"/>
                <w:szCs w:val="20"/>
              </w:rPr>
            </w:pPr>
            <w:r w:rsidRPr="009A44AF">
              <w:rPr>
                <w:rFonts w:ascii="Calibri" w:hAnsi="Calibri" w:cs="Calibri"/>
                <w:b/>
                <w:bCs/>
                <w:color w:val="000000"/>
                <w:sz w:val="20"/>
                <w:szCs w:val="20"/>
              </w:rPr>
              <w:t>Strongly agree</w:t>
            </w:r>
          </w:p>
        </w:tc>
        <w:tc>
          <w:tcPr>
            <w:tcW w:w="709" w:type="dxa"/>
            <w:shd w:val="clear" w:color="auto" w:fill="D9D9D9" w:themeFill="background1" w:themeFillShade="D9"/>
            <w:textDirection w:val="btLr"/>
            <w:vAlign w:val="center"/>
          </w:tcPr>
          <w:p w14:paraId="762B5389" w14:textId="4C625EEE" w:rsidR="009A44AF" w:rsidRPr="009A44AF" w:rsidRDefault="009A44AF" w:rsidP="009A44AF">
            <w:pPr>
              <w:pStyle w:val="ListParagraph"/>
              <w:ind w:left="113" w:right="113"/>
              <w:jc w:val="center"/>
              <w:rPr>
                <w:b/>
                <w:bCs/>
                <w:sz w:val="20"/>
                <w:szCs w:val="20"/>
              </w:rPr>
            </w:pPr>
            <w:r w:rsidRPr="009A44AF">
              <w:rPr>
                <w:rFonts w:ascii="Calibri" w:hAnsi="Calibri" w:cs="Calibri"/>
                <w:b/>
                <w:bCs/>
                <w:color w:val="000000"/>
                <w:sz w:val="20"/>
                <w:szCs w:val="20"/>
              </w:rPr>
              <w:t>Agree</w:t>
            </w:r>
          </w:p>
        </w:tc>
        <w:tc>
          <w:tcPr>
            <w:tcW w:w="917" w:type="dxa"/>
            <w:shd w:val="clear" w:color="auto" w:fill="D9D9D9" w:themeFill="background1" w:themeFillShade="D9"/>
            <w:textDirection w:val="btLr"/>
            <w:vAlign w:val="center"/>
          </w:tcPr>
          <w:p w14:paraId="7730AB99" w14:textId="74E0A008" w:rsidR="009A44AF" w:rsidRPr="009A44AF" w:rsidRDefault="009A44AF" w:rsidP="009A44AF">
            <w:pPr>
              <w:pStyle w:val="ListParagraph"/>
              <w:ind w:left="113" w:right="113"/>
              <w:jc w:val="center"/>
              <w:rPr>
                <w:b/>
                <w:bCs/>
                <w:sz w:val="20"/>
                <w:szCs w:val="20"/>
              </w:rPr>
            </w:pPr>
            <w:r w:rsidRPr="009A44AF">
              <w:rPr>
                <w:rFonts w:ascii="Calibri" w:hAnsi="Calibri" w:cs="Calibri"/>
                <w:b/>
                <w:bCs/>
                <w:color w:val="000000"/>
                <w:sz w:val="20"/>
                <w:szCs w:val="20"/>
              </w:rPr>
              <w:t>Neither agree nor disagree</w:t>
            </w:r>
          </w:p>
        </w:tc>
        <w:tc>
          <w:tcPr>
            <w:tcW w:w="764" w:type="dxa"/>
            <w:shd w:val="clear" w:color="auto" w:fill="D9D9D9" w:themeFill="background1" w:themeFillShade="D9"/>
            <w:textDirection w:val="btLr"/>
            <w:vAlign w:val="center"/>
          </w:tcPr>
          <w:p w14:paraId="2133FE1A" w14:textId="68684F5C" w:rsidR="009A44AF" w:rsidRPr="009A44AF" w:rsidRDefault="009A44AF" w:rsidP="009A44AF">
            <w:pPr>
              <w:pStyle w:val="ListParagraph"/>
              <w:ind w:left="113" w:right="113"/>
              <w:jc w:val="center"/>
              <w:rPr>
                <w:b/>
                <w:bCs/>
                <w:sz w:val="20"/>
                <w:szCs w:val="20"/>
              </w:rPr>
            </w:pPr>
            <w:r w:rsidRPr="009A44AF">
              <w:rPr>
                <w:rFonts w:ascii="Calibri" w:hAnsi="Calibri" w:cs="Calibri"/>
                <w:b/>
                <w:bCs/>
                <w:color w:val="000000"/>
                <w:sz w:val="20"/>
                <w:szCs w:val="20"/>
              </w:rPr>
              <w:t>Disagree</w:t>
            </w:r>
          </w:p>
        </w:tc>
        <w:tc>
          <w:tcPr>
            <w:tcW w:w="764" w:type="dxa"/>
            <w:shd w:val="clear" w:color="auto" w:fill="D9D9D9" w:themeFill="background1" w:themeFillShade="D9"/>
            <w:textDirection w:val="btLr"/>
            <w:vAlign w:val="center"/>
          </w:tcPr>
          <w:p w14:paraId="62A7E61D" w14:textId="04B97164" w:rsidR="009A44AF" w:rsidRPr="009A44AF" w:rsidRDefault="009A44AF" w:rsidP="009A44AF">
            <w:pPr>
              <w:pStyle w:val="ListParagraph"/>
              <w:ind w:left="113" w:right="113"/>
              <w:jc w:val="center"/>
              <w:rPr>
                <w:b/>
                <w:bCs/>
                <w:sz w:val="20"/>
                <w:szCs w:val="20"/>
              </w:rPr>
            </w:pPr>
            <w:r w:rsidRPr="009A44AF">
              <w:rPr>
                <w:rFonts w:ascii="Calibri" w:hAnsi="Calibri" w:cs="Calibri"/>
                <w:b/>
                <w:bCs/>
                <w:color w:val="000000"/>
                <w:sz w:val="20"/>
                <w:szCs w:val="20"/>
              </w:rPr>
              <w:t>Strongly disagree</w:t>
            </w:r>
          </w:p>
        </w:tc>
        <w:tc>
          <w:tcPr>
            <w:tcW w:w="764" w:type="dxa"/>
            <w:shd w:val="clear" w:color="auto" w:fill="D9D9D9" w:themeFill="background1" w:themeFillShade="D9"/>
            <w:textDirection w:val="btLr"/>
            <w:vAlign w:val="center"/>
          </w:tcPr>
          <w:p w14:paraId="21E7B3F7" w14:textId="37B8E944" w:rsidR="009A44AF" w:rsidRPr="009A44AF" w:rsidRDefault="009A44AF" w:rsidP="009A44AF">
            <w:pPr>
              <w:pStyle w:val="ListParagraph"/>
              <w:ind w:left="113" w:right="113"/>
              <w:jc w:val="center"/>
              <w:rPr>
                <w:b/>
                <w:bCs/>
                <w:sz w:val="20"/>
                <w:szCs w:val="20"/>
              </w:rPr>
            </w:pPr>
            <w:r w:rsidRPr="009A44AF">
              <w:rPr>
                <w:rFonts w:ascii="Calibri" w:hAnsi="Calibri" w:cs="Calibri"/>
                <w:b/>
                <w:bCs/>
                <w:color w:val="000000"/>
                <w:sz w:val="20"/>
                <w:szCs w:val="20"/>
              </w:rPr>
              <w:t xml:space="preserve">Not </w:t>
            </w:r>
            <w:r>
              <w:rPr>
                <w:rFonts w:ascii="Calibri" w:hAnsi="Calibri" w:cs="Calibri"/>
                <w:b/>
                <w:bCs/>
                <w:color w:val="000000"/>
                <w:sz w:val="20"/>
                <w:szCs w:val="20"/>
              </w:rPr>
              <w:t>a</w:t>
            </w:r>
            <w:r w:rsidRPr="009A44AF">
              <w:rPr>
                <w:rFonts w:ascii="Calibri" w:hAnsi="Calibri" w:cs="Calibri"/>
                <w:b/>
                <w:bCs/>
                <w:color w:val="000000"/>
                <w:sz w:val="20"/>
                <w:szCs w:val="20"/>
              </w:rPr>
              <w:t>nswered</w:t>
            </w:r>
          </w:p>
        </w:tc>
      </w:tr>
      <w:tr w:rsidR="009A44AF" w14:paraId="5DF67B2B" w14:textId="77777777" w:rsidTr="009A44AF">
        <w:tc>
          <w:tcPr>
            <w:tcW w:w="4395" w:type="dxa"/>
            <w:vAlign w:val="bottom"/>
          </w:tcPr>
          <w:p w14:paraId="0EAA6F61" w14:textId="7A977AE5" w:rsidR="009A44AF" w:rsidRPr="009A44AF" w:rsidRDefault="009A44AF" w:rsidP="009A44AF">
            <w:pPr>
              <w:pStyle w:val="ListParagraph"/>
              <w:ind w:left="0"/>
              <w:jc w:val="both"/>
              <w:rPr>
                <w:sz w:val="20"/>
                <w:szCs w:val="20"/>
              </w:rPr>
            </w:pPr>
            <w:r w:rsidRPr="009A44AF">
              <w:rPr>
                <w:rFonts w:ascii="Calibri" w:hAnsi="Calibri" w:cs="Calibri"/>
                <w:color w:val="000000"/>
                <w:sz w:val="20"/>
                <w:szCs w:val="20"/>
              </w:rPr>
              <w:t>It is easy to access and enjoy the natural environment.</w:t>
            </w:r>
          </w:p>
        </w:tc>
        <w:tc>
          <w:tcPr>
            <w:tcW w:w="850" w:type="dxa"/>
            <w:vAlign w:val="center"/>
          </w:tcPr>
          <w:p w14:paraId="3B7F8CCB" w14:textId="2052AC50"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22.2%</w:t>
            </w:r>
          </w:p>
        </w:tc>
        <w:tc>
          <w:tcPr>
            <w:tcW w:w="709" w:type="dxa"/>
            <w:vAlign w:val="center"/>
          </w:tcPr>
          <w:p w14:paraId="27491633" w14:textId="1EA93C20"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40.4%</w:t>
            </w:r>
          </w:p>
        </w:tc>
        <w:tc>
          <w:tcPr>
            <w:tcW w:w="917" w:type="dxa"/>
            <w:vAlign w:val="center"/>
          </w:tcPr>
          <w:p w14:paraId="39E55CD2" w14:textId="5D7460E7"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15.3%</w:t>
            </w:r>
          </w:p>
        </w:tc>
        <w:tc>
          <w:tcPr>
            <w:tcW w:w="764" w:type="dxa"/>
            <w:vAlign w:val="center"/>
          </w:tcPr>
          <w:p w14:paraId="2F26CA45" w14:textId="54B6707B"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16.8%</w:t>
            </w:r>
          </w:p>
        </w:tc>
        <w:tc>
          <w:tcPr>
            <w:tcW w:w="764" w:type="dxa"/>
            <w:vAlign w:val="center"/>
          </w:tcPr>
          <w:p w14:paraId="7E2A74B5" w14:textId="76061478"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3.0%</w:t>
            </w:r>
          </w:p>
        </w:tc>
        <w:tc>
          <w:tcPr>
            <w:tcW w:w="764" w:type="dxa"/>
            <w:vAlign w:val="center"/>
          </w:tcPr>
          <w:p w14:paraId="3DCC3412" w14:textId="624C2E1C"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2.5%</w:t>
            </w:r>
          </w:p>
        </w:tc>
      </w:tr>
      <w:tr w:rsidR="009A44AF" w14:paraId="4A259352" w14:textId="77777777" w:rsidTr="009A44AF">
        <w:tc>
          <w:tcPr>
            <w:tcW w:w="4395" w:type="dxa"/>
            <w:vAlign w:val="bottom"/>
          </w:tcPr>
          <w:p w14:paraId="7D854563" w14:textId="1F91E561" w:rsidR="009A44AF" w:rsidRPr="009A44AF" w:rsidRDefault="009A44AF" w:rsidP="009A44AF">
            <w:pPr>
              <w:pStyle w:val="ListParagraph"/>
              <w:ind w:left="0"/>
              <w:jc w:val="both"/>
              <w:rPr>
                <w:sz w:val="20"/>
                <w:szCs w:val="20"/>
              </w:rPr>
            </w:pPr>
            <w:r w:rsidRPr="009A44AF">
              <w:rPr>
                <w:rFonts w:ascii="Calibri" w:hAnsi="Calibri" w:cs="Calibri"/>
                <w:color w:val="000000"/>
                <w:sz w:val="20"/>
                <w:szCs w:val="20"/>
              </w:rPr>
              <w:t>There are a good range of education institutions available in the area.</w:t>
            </w:r>
          </w:p>
        </w:tc>
        <w:tc>
          <w:tcPr>
            <w:tcW w:w="850" w:type="dxa"/>
            <w:vAlign w:val="center"/>
          </w:tcPr>
          <w:p w14:paraId="7CC3D8B4" w14:textId="3B1981B8"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10.8%</w:t>
            </w:r>
          </w:p>
        </w:tc>
        <w:tc>
          <w:tcPr>
            <w:tcW w:w="709" w:type="dxa"/>
            <w:vAlign w:val="center"/>
          </w:tcPr>
          <w:p w14:paraId="005D6768" w14:textId="5C92549F"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36.5%</w:t>
            </w:r>
          </w:p>
        </w:tc>
        <w:tc>
          <w:tcPr>
            <w:tcW w:w="917" w:type="dxa"/>
            <w:vAlign w:val="center"/>
          </w:tcPr>
          <w:p w14:paraId="1A54B78E" w14:textId="74C53D5D"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23.7%</w:t>
            </w:r>
          </w:p>
        </w:tc>
        <w:tc>
          <w:tcPr>
            <w:tcW w:w="764" w:type="dxa"/>
            <w:vAlign w:val="center"/>
          </w:tcPr>
          <w:p w14:paraId="3F1293F6" w14:textId="4DCFFE50"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19.7%</w:t>
            </w:r>
          </w:p>
        </w:tc>
        <w:tc>
          <w:tcPr>
            <w:tcW w:w="764" w:type="dxa"/>
            <w:vAlign w:val="center"/>
          </w:tcPr>
          <w:p w14:paraId="46C31040" w14:textId="3F5C21B3"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7.4%</w:t>
            </w:r>
          </w:p>
        </w:tc>
        <w:tc>
          <w:tcPr>
            <w:tcW w:w="764" w:type="dxa"/>
            <w:vAlign w:val="center"/>
          </w:tcPr>
          <w:p w14:paraId="44534908" w14:textId="4C859350"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2.0%</w:t>
            </w:r>
          </w:p>
        </w:tc>
      </w:tr>
      <w:tr w:rsidR="009A44AF" w14:paraId="0DB725CC" w14:textId="77777777" w:rsidTr="009A44AF">
        <w:tc>
          <w:tcPr>
            <w:tcW w:w="4395" w:type="dxa"/>
            <w:vAlign w:val="bottom"/>
          </w:tcPr>
          <w:p w14:paraId="66C7AC2E" w14:textId="3B71423F" w:rsidR="009A44AF" w:rsidRPr="009A44AF" w:rsidRDefault="009A44AF" w:rsidP="009A44AF">
            <w:pPr>
              <w:pStyle w:val="ListParagraph"/>
              <w:ind w:left="0"/>
              <w:jc w:val="both"/>
              <w:rPr>
                <w:sz w:val="20"/>
                <w:szCs w:val="20"/>
              </w:rPr>
            </w:pPr>
            <w:r w:rsidRPr="009A44AF">
              <w:rPr>
                <w:rFonts w:ascii="Calibri" w:hAnsi="Calibri" w:cs="Calibri"/>
                <w:color w:val="000000"/>
                <w:sz w:val="20"/>
                <w:szCs w:val="20"/>
              </w:rPr>
              <w:t>Existing communities are well-established and are actively engaged in improving their local areas.</w:t>
            </w:r>
          </w:p>
        </w:tc>
        <w:tc>
          <w:tcPr>
            <w:tcW w:w="850" w:type="dxa"/>
            <w:vAlign w:val="center"/>
          </w:tcPr>
          <w:p w14:paraId="1525451E" w14:textId="03075118"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6.9%</w:t>
            </w:r>
          </w:p>
        </w:tc>
        <w:tc>
          <w:tcPr>
            <w:tcW w:w="709" w:type="dxa"/>
            <w:vAlign w:val="center"/>
          </w:tcPr>
          <w:p w14:paraId="51D952A9" w14:textId="4ABEAFE7"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40.4%</w:t>
            </w:r>
          </w:p>
        </w:tc>
        <w:tc>
          <w:tcPr>
            <w:tcW w:w="917" w:type="dxa"/>
            <w:vAlign w:val="center"/>
          </w:tcPr>
          <w:p w14:paraId="1944F12B" w14:textId="106F14E1"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30.1%</w:t>
            </w:r>
          </w:p>
        </w:tc>
        <w:tc>
          <w:tcPr>
            <w:tcW w:w="764" w:type="dxa"/>
            <w:vAlign w:val="center"/>
          </w:tcPr>
          <w:p w14:paraId="04E4B4F3" w14:textId="1080ABB2"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16.3%</w:t>
            </w:r>
          </w:p>
        </w:tc>
        <w:tc>
          <w:tcPr>
            <w:tcW w:w="764" w:type="dxa"/>
            <w:vAlign w:val="center"/>
          </w:tcPr>
          <w:p w14:paraId="54FE75D7" w14:textId="334788BB"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4.4%</w:t>
            </w:r>
          </w:p>
        </w:tc>
        <w:tc>
          <w:tcPr>
            <w:tcW w:w="764" w:type="dxa"/>
            <w:vAlign w:val="center"/>
          </w:tcPr>
          <w:p w14:paraId="40FB8F59" w14:textId="5A554932"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2.0%</w:t>
            </w:r>
          </w:p>
        </w:tc>
      </w:tr>
      <w:tr w:rsidR="009A44AF" w14:paraId="4F38F8A4" w14:textId="77777777" w:rsidTr="009A44AF">
        <w:tc>
          <w:tcPr>
            <w:tcW w:w="4395" w:type="dxa"/>
            <w:vAlign w:val="bottom"/>
          </w:tcPr>
          <w:p w14:paraId="6A76BF52" w14:textId="14E5E626" w:rsidR="009A44AF" w:rsidRPr="009A44AF" w:rsidRDefault="009A44AF" w:rsidP="009A44AF">
            <w:pPr>
              <w:pStyle w:val="ListParagraph"/>
              <w:ind w:left="0"/>
              <w:jc w:val="both"/>
              <w:rPr>
                <w:sz w:val="20"/>
                <w:szCs w:val="20"/>
              </w:rPr>
            </w:pPr>
            <w:r w:rsidRPr="009A44AF">
              <w:rPr>
                <w:rFonts w:ascii="Calibri" w:hAnsi="Calibri" w:cs="Calibri"/>
                <w:color w:val="000000"/>
                <w:sz w:val="20"/>
                <w:szCs w:val="20"/>
              </w:rPr>
              <w:t>There is good access to a range of employment opportunities in the area.</w:t>
            </w:r>
          </w:p>
        </w:tc>
        <w:tc>
          <w:tcPr>
            <w:tcW w:w="850" w:type="dxa"/>
            <w:vAlign w:val="center"/>
          </w:tcPr>
          <w:p w14:paraId="6896ADD0" w14:textId="52BAF142"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6.9%</w:t>
            </w:r>
          </w:p>
        </w:tc>
        <w:tc>
          <w:tcPr>
            <w:tcW w:w="709" w:type="dxa"/>
            <w:vAlign w:val="center"/>
          </w:tcPr>
          <w:p w14:paraId="7796FC85" w14:textId="68C64651"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37.4%</w:t>
            </w:r>
          </w:p>
        </w:tc>
        <w:tc>
          <w:tcPr>
            <w:tcW w:w="917" w:type="dxa"/>
            <w:vAlign w:val="center"/>
          </w:tcPr>
          <w:p w14:paraId="76627319" w14:textId="19848D5C"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26.6%</w:t>
            </w:r>
          </w:p>
        </w:tc>
        <w:tc>
          <w:tcPr>
            <w:tcW w:w="764" w:type="dxa"/>
            <w:vAlign w:val="center"/>
          </w:tcPr>
          <w:p w14:paraId="39E67ECB" w14:textId="0D2FC689"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21.7%</w:t>
            </w:r>
          </w:p>
        </w:tc>
        <w:tc>
          <w:tcPr>
            <w:tcW w:w="764" w:type="dxa"/>
            <w:vAlign w:val="center"/>
          </w:tcPr>
          <w:p w14:paraId="5A9AFD33" w14:textId="7CE02D83"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5.4%</w:t>
            </w:r>
          </w:p>
        </w:tc>
        <w:tc>
          <w:tcPr>
            <w:tcW w:w="764" w:type="dxa"/>
            <w:vAlign w:val="center"/>
          </w:tcPr>
          <w:p w14:paraId="06F06400" w14:textId="3F3F0030"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2.0%</w:t>
            </w:r>
          </w:p>
        </w:tc>
      </w:tr>
      <w:tr w:rsidR="009A44AF" w14:paraId="03A72601" w14:textId="77777777" w:rsidTr="009A44AF">
        <w:tc>
          <w:tcPr>
            <w:tcW w:w="4395" w:type="dxa"/>
            <w:vAlign w:val="bottom"/>
          </w:tcPr>
          <w:p w14:paraId="2804E19B" w14:textId="6EF7062E" w:rsidR="009A44AF" w:rsidRPr="009A44AF" w:rsidRDefault="009A44AF" w:rsidP="009A44AF">
            <w:pPr>
              <w:pStyle w:val="ListParagraph"/>
              <w:ind w:left="0"/>
              <w:jc w:val="both"/>
              <w:rPr>
                <w:sz w:val="20"/>
                <w:szCs w:val="20"/>
              </w:rPr>
            </w:pPr>
            <w:r w:rsidRPr="009A44AF">
              <w:rPr>
                <w:rFonts w:ascii="Calibri" w:hAnsi="Calibri" w:cs="Calibri"/>
                <w:color w:val="000000"/>
                <w:sz w:val="20"/>
                <w:szCs w:val="20"/>
              </w:rPr>
              <w:t>There are good public transport connections that allow for travel into and out of the city and beyond.</w:t>
            </w:r>
          </w:p>
        </w:tc>
        <w:tc>
          <w:tcPr>
            <w:tcW w:w="850" w:type="dxa"/>
            <w:vAlign w:val="center"/>
          </w:tcPr>
          <w:p w14:paraId="5E4FBA5E" w14:textId="15B4FD43"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11.8%</w:t>
            </w:r>
          </w:p>
        </w:tc>
        <w:tc>
          <w:tcPr>
            <w:tcW w:w="709" w:type="dxa"/>
            <w:vAlign w:val="center"/>
          </w:tcPr>
          <w:p w14:paraId="33AD97CB" w14:textId="5B64B234"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25.6%</w:t>
            </w:r>
          </w:p>
        </w:tc>
        <w:tc>
          <w:tcPr>
            <w:tcW w:w="917" w:type="dxa"/>
            <w:vAlign w:val="center"/>
          </w:tcPr>
          <w:p w14:paraId="25A512F3" w14:textId="41155DF1"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10.8%</w:t>
            </w:r>
          </w:p>
        </w:tc>
        <w:tc>
          <w:tcPr>
            <w:tcW w:w="764" w:type="dxa"/>
            <w:vAlign w:val="center"/>
          </w:tcPr>
          <w:p w14:paraId="48D4C3B3" w14:textId="6BC1B35A"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28.6%</w:t>
            </w:r>
          </w:p>
        </w:tc>
        <w:tc>
          <w:tcPr>
            <w:tcW w:w="764" w:type="dxa"/>
            <w:vAlign w:val="center"/>
          </w:tcPr>
          <w:p w14:paraId="2564988C" w14:textId="010A6482"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21.2%</w:t>
            </w:r>
          </w:p>
        </w:tc>
        <w:tc>
          <w:tcPr>
            <w:tcW w:w="764" w:type="dxa"/>
            <w:vAlign w:val="center"/>
          </w:tcPr>
          <w:p w14:paraId="1F3D09A1" w14:textId="06BE766B"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2.0%</w:t>
            </w:r>
          </w:p>
        </w:tc>
      </w:tr>
      <w:tr w:rsidR="009A44AF" w14:paraId="2A61B39B" w14:textId="77777777" w:rsidTr="009A44AF">
        <w:tc>
          <w:tcPr>
            <w:tcW w:w="4395" w:type="dxa"/>
            <w:vAlign w:val="bottom"/>
          </w:tcPr>
          <w:p w14:paraId="57E393A4" w14:textId="53D19A46" w:rsidR="009A44AF" w:rsidRPr="009A44AF" w:rsidRDefault="009A44AF" w:rsidP="009A44AF">
            <w:pPr>
              <w:pStyle w:val="ListParagraph"/>
              <w:ind w:left="0"/>
              <w:jc w:val="both"/>
              <w:rPr>
                <w:sz w:val="20"/>
                <w:szCs w:val="20"/>
              </w:rPr>
            </w:pPr>
            <w:r w:rsidRPr="009A44AF">
              <w:rPr>
                <w:rFonts w:ascii="Calibri" w:hAnsi="Calibri" w:cs="Calibri"/>
                <w:color w:val="000000"/>
                <w:sz w:val="20"/>
                <w:szCs w:val="20"/>
              </w:rPr>
              <w:t>There are lots of leisure and cultural facilities in West Edinburgh that can be enjoyed.</w:t>
            </w:r>
          </w:p>
        </w:tc>
        <w:tc>
          <w:tcPr>
            <w:tcW w:w="850" w:type="dxa"/>
            <w:vAlign w:val="center"/>
          </w:tcPr>
          <w:p w14:paraId="50A3D2EB" w14:textId="2B1845A3"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8.4%</w:t>
            </w:r>
          </w:p>
        </w:tc>
        <w:tc>
          <w:tcPr>
            <w:tcW w:w="709" w:type="dxa"/>
            <w:vAlign w:val="center"/>
          </w:tcPr>
          <w:p w14:paraId="37DF6121" w14:textId="5D34440C"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20.7%</w:t>
            </w:r>
          </w:p>
        </w:tc>
        <w:tc>
          <w:tcPr>
            <w:tcW w:w="917" w:type="dxa"/>
            <w:vAlign w:val="center"/>
          </w:tcPr>
          <w:p w14:paraId="0F9E0E13" w14:textId="3923654A"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26.1%</w:t>
            </w:r>
          </w:p>
        </w:tc>
        <w:tc>
          <w:tcPr>
            <w:tcW w:w="764" w:type="dxa"/>
            <w:vAlign w:val="center"/>
          </w:tcPr>
          <w:p w14:paraId="3D8EB5A3" w14:textId="1DF19510"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26.1%</w:t>
            </w:r>
          </w:p>
        </w:tc>
        <w:tc>
          <w:tcPr>
            <w:tcW w:w="764" w:type="dxa"/>
            <w:vAlign w:val="center"/>
          </w:tcPr>
          <w:p w14:paraId="26DAF3AD" w14:textId="57F03DBC"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16.3%</w:t>
            </w:r>
          </w:p>
        </w:tc>
        <w:tc>
          <w:tcPr>
            <w:tcW w:w="764" w:type="dxa"/>
            <w:vAlign w:val="center"/>
          </w:tcPr>
          <w:p w14:paraId="38C2F5EF" w14:textId="367D349B" w:rsidR="009A44AF" w:rsidRPr="009A44AF" w:rsidRDefault="009A44AF" w:rsidP="009A44AF">
            <w:pPr>
              <w:pStyle w:val="ListParagraph"/>
              <w:ind w:left="0"/>
              <w:jc w:val="center"/>
              <w:rPr>
                <w:sz w:val="20"/>
                <w:szCs w:val="20"/>
              </w:rPr>
            </w:pPr>
            <w:r w:rsidRPr="009A44AF">
              <w:rPr>
                <w:rFonts w:ascii="Calibri" w:hAnsi="Calibri" w:cs="Calibri"/>
                <w:color w:val="000000"/>
                <w:sz w:val="20"/>
                <w:szCs w:val="20"/>
              </w:rPr>
              <w:t>2.5%</w:t>
            </w:r>
          </w:p>
        </w:tc>
      </w:tr>
    </w:tbl>
    <w:p w14:paraId="1B84642F" w14:textId="77777777" w:rsidR="00C90563" w:rsidRDefault="00C90563" w:rsidP="00682329">
      <w:pPr>
        <w:pStyle w:val="ListParagraph"/>
      </w:pPr>
    </w:p>
    <w:p w14:paraId="41BA5AE7" w14:textId="10392DBC" w:rsidR="00682329" w:rsidRDefault="00B31524" w:rsidP="00514A66">
      <w:pPr>
        <w:pStyle w:val="ListParagraph"/>
        <w:numPr>
          <w:ilvl w:val="1"/>
          <w:numId w:val="37"/>
        </w:numPr>
        <w:ind w:hanging="934"/>
        <w:jc w:val="both"/>
      </w:pPr>
      <w:r>
        <w:t>Respondents were most in agreement with the statement that it is easy to access and enjoy the natural environment in West Edinburgh. None of the other statements were agreed with by a majority of respondents, suggesting there is not</w:t>
      </w:r>
      <w:r w:rsidR="00833770">
        <w:t xml:space="preserve"> a</w:t>
      </w:r>
      <w:r>
        <w:t xml:space="preserve"> consensus as to the strengths of West Edinburgh. More respondents disagreed than agreed with the statements that West Edinburgh has good public transport connections and lots of leisure and cultural facilities.</w:t>
      </w:r>
    </w:p>
    <w:p w14:paraId="3FA995A2" w14:textId="77777777" w:rsidR="00E13AE3" w:rsidRDefault="00E13AE3" w:rsidP="00514A66">
      <w:pPr>
        <w:pStyle w:val="ListParagraph"/>
        <w:ind w:left="792" w:hanging="934"/>
        <w:jc w:val="both"/>
      </w:pPr>
    </w:p>
    <w:p w14:paraId="290C2AA7" w14:textId="24C09595" w:rsidR="00E13AE3" w:rsidRDefault="00E13AE3" w:rsidP="00514A66">
      <w:pPr>
        <w:pStyle w:val="ListParagraph"/>
        <w:numPr>
          <w:ilvl w:val="1"/>
          <w:numId w:val="37"/>
        </w:numPr>
        <w:ind w:hanging="934"/>
        <w:jc w:val="both"/>
      </w:pPr>
      <w:r>
        <w:t xml:space="preserve">Respondents were </w:t>
      </w:r>
      <w:r w:rsidR="00551B17">
        <w:t>invited</w:t>
      </w:r>
      <w:r>
        <w:t xml:space="preserve"> to identify anything else they felt was a good thing about West Edinburgh. </w:t>
      </w:r>
      <w:r w:rsidR="001C4A6D">
        <w:t xml:space="preserve">Responses covered a range of themes, with green space / the countryside </w:t>
      </w:r>
      <w:r w:rsidR="00551B17">
        <w:t xml:space="preserve">/ the rural character </w:t>
      </w:r>
      <w:r w:rsidR="001C4A6D">
        <w:t>being widely referenced.</w:t>
      </w:r>
      <w:r w:rsidR="00571741">
        <w:t xml:space="preserve"> Other recurrent themes included quietness and </w:t>
      </w:r>
      <w:r w:rsidR="00551B17">
        <w:t>a sense of community</w:t>
      </w:r>
      <w:r w:rsidR="00571741">
        <w:t>.</w:t>
      </w:r>
      <w:r w:rsidR="001C4A6D">
        <w:t xml:space="preserve"> Some respondents also took this opportunity to highlight perceived </w:t>
      </w:r>
      <w:r w:rsidR="00571741">
        <w:t>negative qualities of</w:t>
      </w:r>
      <w:r w:rsidR="001C4A6D">
        <w:t xml:space="preserve"> West Edinburgh, with themes including gaps in public transport provisions and overdevelopment. </w:t>
      </w:r>
    </w:p>
    <w:p w14:paraId="677925B4" w14:textId="77777777" w:rsidR="00C56375" w:rsidRDefault="00C56375" w:rsidP="00C56375">
      <w:pPr>
        <w:pStyle w:val="ListParagraph"/>
        <w:ind w:left="792"/>
        <w:jc w:val="both"/>
      </w:pPr>
    </w:p>
    <w:tbl>
      <w:tblPr>
        <w:tblStyle w:val="TableGrid"/>
        <w:tblW w:w="0" w:type="auto"/>
        <w:tblInd w:w="-147" w:type="dxa"/>
        <w:tblLook w:val="04A0" w:firstRow="1" w:lastRow="0" w:firstColumn="1" w:lastColumn="0" w:noHBand="0" w:noVBand="1"/>
      </w:tblPr>
      <w:tblGrid>
        <w:gridCol w:w="9163"/>
      </w:tblGrid>
      <w:tr w:rsidR="00514A66" w14:paraId="6F4632B4" w14:textId="77777777" w:rsidTr="00514A66">
        <w:tc>
          <w:tcPr>
            <w:tcW w:w="9163" w:type="dxa"/>
            <w:shd w:val="clear" w:color="auto" w:fill="D9D9D9" w:themeFill="background1" w:themeFillShade="D9"/>
          </w:tcPr>
          <w:p w14:paraId="0BD7C250" w14:textId="37F6B1B0" w:rsidR="00514A66" w:rsidRPr="00514A66" w:rsidRDefault="00514A66" w:rsidP="008B6570">
            <w:pPr>
              <w:pStyle w:val="ListParagraph"/>
              <w:ind w:left="0"/>
              <w:jc w:val="center"/>
              <w:rPr>
                <w:b/>
                <w:bCs/>
              </w:rPr>
            </w:pPr>
            <w:r w:rsidRPr="00514A66">
              <w:rPr>
                <w:b/>
                <w:bCs/>
              </w:rPr>
              <w:t>Response</w:t>
            </w:r>
            <w:r w:rsidR="000C5AF3">
              <w:rPr>
                <w:b/>
                <w:bCs/>
              </w:rPr>
              <w:t xml:space="preserve"> to views on the strengths of West Edinburgh</w:t>
            </w:r>
          </w:p>
        </w:tc>
      </w:tr>
      <w:tr w:rsidR="00514A66" w14:paraId="6444EB61" w14:textId="77777777" w:rsidTr="00514A66">
        <w:tc>
          <w:tcPr>
            <w:tcW w:w="9163" w:type="dxa"/>
          </w:tcPr>
          <w:p w14:paraId="731413B5" w14:textId="528E0DBE" w:rsidR="00514A66" w:rsidRPr="003935B4" w:rsidRDefault="003935B4" w:rsidP="003935B4">
            <w:pPr>
              <w:jc w:val="both"/>
            </w:pPr>
            <w:r w:rsidRPr="003935B4">
              <w:t>“</w:t>
            </w:r>
            <w:r w:rsidRPr="003935B4">
              <w:t>Rural character</w:t>
            </w:r>
            <w:r w:rsidRPr="003935B4">
              <w:t>” has been added under “Character and Opportunity”</w:t>
            </w:r>
            <w:r w:rsidRPr="003935B4">
              <w:t>.</w:t>
            </w:r>
            <w:r w:rsidRPr="003935B4">
              <w:t xml:space="preserve"> “</w:t>
            </w:r>
            <w:r w:rsidRPr="003935B4">
              <w:t>Quietness</w:t>
            </w:r>
            <w:r w:rsidRPr="003935B4">
              <w:t>”</w:t>
            </w:r>
            <w:r w:rsidRPr="003935B4">
              <w:t xml:space="preserve"> and </w:t>
            </w:r>
            <w:r w:rsidRPr="003935B4">
              <w:t>“</w:t>
            </w:r>
            <w:r w:rsidRPr="003935B4">
              <w:t>sense of community</w:t>
            </w:r>
            <w:r w:rsidRPr="003935B4">
              <w:t>”</w:t>
            </w:r>
            <w:r w:rsidRPr="003935B4">
              <w:t xml:space="preserve"> have not been added as these are subjective and are likely to vary dramatically across West Edinburgh depending on the character areas</w:t>
            </w:r>
            <w:r w:rsidRPr="003935B4">
              <w:t>, etc</w:t>
            </w:r>
            <w:r w:rsidRPr="003935B4">
              <w:t>. It will be quiet in some of the farmland areas but noisy near airport or major road infrastructure/industry</w:t>
            </w:r>
            <w:r w:rsidRPr="003935B4">
              <w:t xml:space="preserve">; </w:t>
            </w:r>
            <w:proofErr w:type="gramStart"/>
            <w:r w:rsidRPr="003935B4">
              <w:t>likewise</w:t>
            </w:r>
            <w:proofErr w:type="gramEnd"/>
            <w:r w:rsidRPr="003935B4">
              <w:t xml:space="preserve"> there will be a strong sense of community in some settlements and not others.</w:t>
            </w:r>
          </w:p>
        </w:tc>
      </w:tr>
    </w:tbl>
    <w:p w14:paraId="2AE4536F" w14:textId="77777777" w:rsidR="00514A66" w:rsidRDefault="00514A66" w:rsidP="00C56375">
      <w:pPr>
        <w:pStyle w:val="ListParagraph"/>
        <w:ind w:left="792"/>
        <w:jc w:val="both"/>
      </w:pPr>
    </w:p>
    <w:p w14:paraId="600BD2A1" w14:textId="4447FF93" w:rsidR="00C56375" w:rsidRPr="00637F22" w:rsidRDefault="00C90563" w:rsidP="00514A66">
      <w:pPr>
        <w:pStyle w:val="ListParagraph"/>
        <w:numPr>
          <w:ilvl w:val="1"/>
          <w:numId w:val="37"/>
        </w:numPr>
        <w:ind w:hanging="934"/>
        <w:jc w:val="both"/>
        <w:rPr>
          <w:rFonts w:cstheme="minorHAnsi"/>
        </w:rPr>
      </w:pPr>
      <w:r>
        <w:t xml:space="preserve">Respondents were asked whether they agreed or disagreed with various statements about barriers to inclusive growth in West Edinburgh. The responses to this question are set out below, </w:t>
      </w:r>
      <w:r w:rsidRPr="00637F22">
        <w:rPr>
          <w:rFonts w:cstheme="minorHAnsi"/>
        </w:rPr>
        <w:t>sorted in descending order based on the proportion of respondents answering positively.</w:t>
      </w:r>
    </w:p>
    <w:p w14:paraId="20361F4C" w14:textId="77777777" w:rsidR="00C56375" w:rsidRPr="00637F22" w:rsidRDefault="00C56375" w:rsidP="00C56375">
      <w:pPr>
        <w:pStyle w:val="ListParagraph"/>
        <w:ind w:left="792"/>
        <w:jc w:val="both"/>
        <w:rPr>
          <w:rFonts w:cstheme="minorHAnsi"/>
        </w:rPr>
      </w:pPr>
    </w:p>
    <w:tbl>
      <w:tblPr>
        <w:tblStyle w:val="TableGrid"/>
        <w:tblW w:w="0" w:type="auto"/>
        <w:tblInd w:w="-147" w:type="dxa"/>
        <w:tblLook w:val="04A0" w:firstRow="1" w:lastRow="0" w:firstColumn="1" w:lastColumn="0" w:noHBand="0" w:noVBand="1"/>
      </w:tblPr>
      <w:tblGrid>
        <w:gridCol w:w="4390"/>
        <w:gridCol w:w="850"/>
        <w:gridCol w:w="714"/>
        <w:gridCol w:w="917"/>
        <w:gridCol w:w="764"/>
        <w:gridCol w:w="764"/>
        <w:gridCol w:w="764"/>
      </w:tblGrid>
      <w:tr w:rsidR="00C90563" w:rsidRPr="00637F22" w14:paraId="44E125D6" w14:textId="77777777" w:rsidTr="006F29E9">
        <w:trPr>
          <w:cantSplit/>
          <w:trHeight w:val="1134"/>
        </w:trPr>
        <w:tc>
          <w:tcPr>
            <w:tcW w:w="4395" w:type="dxa"/>
            <w:shd w:val="clear" w:color="auto" w:fill="D9D9D9" w:themeFill="background1" w:themeFillShade="D9"/>
            <w:vAlign w:val="center"/>
          </w:tcPr>
          <w:p w14:paraId="77386B32" w14:textId="67812675" w:rsidR="00C90563" w:rsidRPr="00637F22" w:rsidRDefault="00C90563" w:rsidP="006F29E9">
            <w:pPr>
              <w:pStyle w:val="ListParagraph"/>
              <w:ind w:left="0"/>
              <w:jc w:val="center"/>
              <w:rPr>
                <w:rFonts w:cstheme="minorHAnsi"/>
                <w:b/>
                <w:bCs/>
                <w:sz w:val="20"/>
                <w:szCs w:val="20"/>
              </w:rPr>
            </w:pPr>
            <w:r w:rsidRPr="00637F22">
              <w:rPr>
                <w:rFonts w:cstheme="minorHAnsi"/>
                <w:b/>
                <w:bCs/>
                <w:color w:val="000000"/>
                <w:sz w:val="20"/>
                <w:szCs w:val="20"/>
              </w:rPr>
              <w:t>Statement</w:t>
            </w:r>
            <w:r w:rsidR="000C5AF3">
              <w:rPr>
                <w:rFonts w:cstheme="minorHAnsi"/>
                <w:b/>
                <w:bCs/>
                <w:color w:val="000000"/>
                <w:sz w:val="20"/>
                <w:szCs w:val="20"/>
              </w:rPr>
              <w:t xml:space="preserve"> about barriers to inclusive growth in West Edinburgh</w:t>
            </w:r>
          </w:p>
        </w:tc>
        <w:tc>
          <w:tcPr>
            <w:tcW w:w="850" w:type="dxa"/>
            <w:shd w:val="clear" w:color="auto" w:fill="D9D9D9" w:themeFill="background1" w:themeFillShade="D9"/>
            <w:textDirection w:val="btLr"/>
            <w:vAlign w:val="center"/>
          </w:tcPr>
          <w:p w14:paraId="4A754D8E" w14:textId="77777777" w:rsidR="00C90563" w:rsidRPr="00637F22" w:rsidRDefault="00C90563" w:rsidP="006F29E9">
            <w:pPr>
              <w:pStyle w:val="ListParagraph"/>
              <w:ind w:left="113" w:right="113"/>
              <w:jc w:val="center"/>
              <w:rPr>
                <w:rFonts w:cstheme="minorHAnsi"/>
                <w:b/>
                <w:bCs/>
                <w:sz w:val="20"/>
                <w:szCs w:val="20"/>
              </w:rPr>
            </w:pPr>
            <w:r w:rsidRPr="00637F22">
              <w:rPr>
                <w:rFonts w:cstheme="minorHAnsi"/>
                <w:b/>
                <w:bCs/>
                <w:color w:val="000000"/>
                <w:sz w:val="20"/>
                <w:szCs w:val="20"/>
              </w:rPr>
              <w:t>Strongly agree</w:t>
            </w:r>
          </w:p>
        </w:tc>
        <w:tc>
          <w:tcPr>
            <w:tcW w:w="709" w:type="dxa"/>
            <w:shd w:val="clear" w:color="auto" w:fill="D9D9D9" w:themeFill="background1" w:themeFillShade="D9"/>
            <w:textDirection w:val="btLr"/>
            <w:vAlign w:val="center"/>
          </w:tcPr>
          <w:p w14:paraId="112D2C1C" w14:textId="77777777" w:rsidR="00C90563" w:rsidRPr="00637F22" w:rsidRDefault="00C90563" w:rsidP="006F29E9">
            <w:pPr>
              <w:pStyle w:val="ListParagraph"/>
              <w:ind w:left="113" w:right="113"/>
              <w:jc w:val="center"/>
              <w:rPr>
                <w:rFonts w:cstheme="minorHAnsi"/>
                <w:b/>
                <w:bCs/>
                <w:sz w:val="20"/>
                <w:szCs w:val="20"/>
              </w:rPr>
            </w:pPr>
            <w:r w:rsidRPr="00637F22">
              <w:rPr>
                <w:rFonts w:cstheme="minorHAnsi"/>
                <w:b/>
                <w:bCs/>
                <w:color w:val="000000"/>
                <w:sz w:val="20"/>
                <w:szCs w:val="20"/>
              </w:rPr>
              <w:t>Agree</w:t>
            </w:r>
          </w:p>
        </w:tc>
        <w:tc>
          <w:tcPr>
            <w:tcW w:w="917" w:type="dxa"/>
            <w:shd w:val="clear" w:color="auto" w:fill="D9D9D9" w:themeFill="background1" w:themeFillShade="D9"/>
            <w:textDirection w:val="btLr"/>
            <w:vAlign w:val="center"/>
          </w:tcPr>
          <w:p w14:paraId="0D01FAC1" w14:textId="77777777" w:rsidR="00C90563" w:rsidRPr="00637F22" w:rsidRDefault="00C90563" w:rsidP="006F29E9">
            <w:pPr>
              <w:pStyle w:val="ListParagraph"/>
              <w:ind w:left="113" w:right="113"/>
              <w:jc w:val="center"/>
              <w:rPr>
                <w:rFonts w:cstheme="minorHAnsi"/>
                <w:b/>
                <w:bCs/>
                <w:sz w:val="20"/>
                <w:szCs w:val="20"/>
              </w:rPr>
            </w:pPr>
            <w:r w:rsidRPr="00637F22">
              <w:rPr>
                <w:rFonts w:cstheme="minorHAnsi"/>
                <w:b/>
                <w:bCs/>
                <w:color w:val="000000"/>
                <w:sz w:val="20"/>
                <w:szCs w:val="20"/>
              </w:rPr>
              <w:t>Neither agree nor disagree</w:t>
            </w:r>
          </w:p>
        </w:tc>
        <w:tc>
          <w:tcPr>
            <w:tcW w:w="764" w:type="dxa"/>
            <w:shd w:val="clear" w:color="auto" w:fill="D9D9D9" w:themeFill="background1" w:themeFillShade="D9"/>
            <w:textDirection w:val="btLr"/>
            <w:vAlign w:val="center"/>
          </w:tcPr>
          <w:p w14:paraId="1FFD63A8" w14:textId="77777777" w:rsidR="00C90563" w:rsidRPr="00637F22" w:rsidRDefault="00C90563" w:rsidP="006F29E9">
            <w:pPr>
              <w:pStyle w:val="ListParagraph"/>
              <w:ind w:left="113" w:right="113"/>
              <w:jc w:val="center"/>
              <w:rPr>
                <w:rFonts w:cstheme="minorHAnsi"/>
                <w:b/>
                <w:bCs/>
                <w:sz w:val="20"/>
                <w:szCs w:val="20"/>
              </w:rPr>
            </w:pPr>
            <w:r w:rsidRPr="00637F22">
              <w:rPr>
                <w:rFonts w:cstheme="minorHAnsi"/>
                <w:b/>
                <w:bCs/>
                <w:color w:val="000000"/>
                <w:sz w:val="20"/>
                <w:szCs w:val="20"/>
              </w:rPr>
              <w:t>Disagree</w:t>
            </w:r>
          </w:p>
        </w:tc>
        <w:tc>
          <w:tcPr>
            <w:tcW w:w="764" w:type="dxa"/>
            <w:shd w:val="clear" w:color="auto" w:fill="D9D9D9" w:themeFill="background1" w:themeFillShade="D9"/>
            <w:textDirection w:val="btLr"/>
            <w:vAlign w:val="center"/>
          </w:tcPr>
          <w:p w14:paraId="56E4D795" w14:textId="77777777" w:rsidR="00C90563" w:rsidRPr="00637F22" w:rsidRDefault="00C90563" w:rsidP="006F29E9">
            <w:pPr>
              <w:pStyle w:val="ListParagraph"/>
              <w:ind w:left="113" w:right="113"/>
              <w:jc w:val="center"/>
              <w:rPr>
                <w:rFonts w:cstheme="minorHAnsi"/>
                <w:b/>
                <w:bCs/>
                <w:sz w:val="20"/>
                <w:szCs w:val="20"/>
              </w:rPr>
            </w:pPr>
            <w:r w:rsidRPr="00637F22">
              <w:rPr>
                <w:rFonts w:cstheme="minorHAnsi"/>
                <w:b/>
                <w:bCs/>
                <w:color w:val="000000"/>
                <w:sz w:val="20"/>
                <w:szCs w:val="20"/>
              </w:rPr>
              <w:t>Strongly disagree</w:t>
            </w:r>
          </w:p>
        </w:tc>
        <w:tc>
          <w:tcPr>
            <w:tcW w:w="764" w:type="dxa"/>
            <w:shd w:val="clear" w:color="auto" w:fill="D9D9D9" w:themeFill="background1" w:themeFillShade="D9"/>
            <w:textDirection w:val="btLr"/>
            <w:vAlign w:val="center"/>
          </w:tcPr>
          <w:p w14:paraId="242F47C5" w14:textId="77777777" w:rsidR="00C90563" w:rsidRPr="00637F22" w:rsidRDefault="00C90563" w:rsidP="006F29E9">
            <w:pPr>
              <w:pStyle w:val="ListParagraph"/>
              <w:ind w:left="113" w:right="113"/>
              <w:jc w:val="center"/>
              <w:rPr>
                <w:rFonts w:cstheme="minorHAnsi"/>
                <w:b/>
                <w:bCs/>
                <w:sz w:val="20"/>
                <w:szCs w:val="20"/>
              </w:rPr>
            </w:pPr>
            <w:r w:rsidRPr="00637F22">
              <w:rPr>
                <w:rFonts w:cstheme="minorHAnsi"/>
                <w:b/>
                <w:bCs/>
                <w:color w:val="000000"/>
                <w:sz w:val="20"/>
                <w:szCs w:val="20"/>
              </w:rPr>
              <w:t>Not answered</w:t>
            </w:r>
          </w:p>
        </w:tc>
      </w:tr>
      <w:tr w:rsidR="00637F22" w:rsidRPr="00637F22" w14:paraId="43736E3D" w14:textId="77777777" w:rsidTr="00637F22">
        <w:tc>
          <w:tcPr>
            <w:tcW w:w="4395" w:type="dxa"/>
          </w:tcPr>
          <w:p w14:paraId="0C755158" w14:textId="39626BBA" w:rsidR="00637F22" w:rsidRPr="00637F22" w:rsidRDefault="00637F22" w:rsidP="00637F22">
            <w:pPr>
              <w:pStyle w:val="ListParagraph"/>
              <w:ind w:left="0"/>
              <w:jc w:val="both"/>
              <w:rPr>
                <w:rFonts w:cstheme="minorHAnsi"/>
                <w:color w:val="FF0000"/>
                <w:sz w:val="20"/>
                <w:szCs w:val="20"/>
              </w:rPr>
            </w:pPr>
            <w:r w:rsidRPr="00637F22">
              <w:rPr>
                <w:rFonts w:cstheme="minorHAnsi"/>
                <w:sz w:val="20"/>
                <w:szCs w:val="20"/>
              </w:rPr>
              <w:t>There is a need for more detailed master planning to deliver better development in the areas.</w:t>
            </w:r>
          </w:p>
        </w:tc>
        <w:tc>
          <w:tcPr>
            <w:tcW w:w="850" w:type="dxa"/>
            <w:vAlign w:val="center"/>
          </w:tcPr>
          <w:p w14:paraId="0BBE6534" w14:textId="0FCB90D8"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38.4%</w:t>
            </w:r>
          </w:p>
        </w:tc>
        <w:tc>
          <w:tcPr>
            <w:tcW w:w="709" w:type="dxa"/>
            <w:vAlign w:val="center"/>
          </w:tcPr>
          <w:p w14:paraId="223D3344" w14:textId="0F8072E2"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38.4%</w:t>
            </w:r>
          </w:p>
        </w:tc>
        <w:tc>
          <w:tcPr>
            <w:tcW w:w="917" w:type="dxa"/>
            <w:vAlign w:val="center"/>
          </w:tcPr>
          <w:p w14:paraId="20E47419" w14:textId="4DC3F55C"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9.4%</w:t>
            </w:r>
          </w:p>
        </w:tc>
        <w:tc>
          <w:tcPr>
            <w:tcW w:w="764" w:type="dxa"/>
            <w:vAlign w:val="center"/>
          </w:tcPr>
          <w:p w14:paraId="7746A5FD" w14:textId="71A8992B"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6.4%</w:t>
            </w:r>
          </w:p>
        </w:tc>
        <w:tc>
          <w:tcPr>
            <w:tcW w:w="764" w:type="dxa"/>
            <w:vAlign w:val="center"/>
          </w:tcPr>
          <w:p w14:paraId="6C5AE2FA" w14:textId="6C090326"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4.4%</w:t>
            </w:r>
          </w:p>
        </w:tc>
        <w:tc>
          <w:tcPr>
            <w:tcW w:w="764" w:type="dxa"/>
            <w:vAlign w:val="center"/>
          </w:tcPr>
          <w:p w14:paraId="75C28BA0" w14:textId="30CAC4D0"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3.0%</w:t>
            </w:r>
          </w:p>
        </w:tc>
      </w:tr>
      <w:tr w:rsidR="00637F22" w:rsidRPr="00637F22" w14:paraId="5E389C77" w14:textId="77777777" w:rsidTr="00637F22">
        <w:tc>
          <w:tcPr>
            <w:tcW w:w="4395" w:type="dxa"/>
          </w:tcPr>
          <w:p w14:paraId="3E58F067" w14:textId="6DED2AB7" w:rsidR="00637F22" w:rsidRPr="00637F22" w:rsidRDefault="00637F22" w:rsidP="00637F22">
            <w:pPr>
              <w:pStyle w:val="ListParagraph"/>
              <w:ind w:left="0"/>
              <w:jc w:val="both"/>
              <w:rPr>
                <w:rFonts w:cstheme="minorHAnsi"/>
                <w:color w:val="FF0000"/>
                <w:sz w:val="20"/>
                <w:szCs w:val="20"/>
              </w:rPr>
            </w:pPr>
            <w:r w:rsidRPr="00637F22">
              <w:rPr>
                <w:rFonts w:cstheme="minorHAnsi"/>
                <w:sz w:val="20"/>
                <w:szCs w:val="20"/>
              </w:rPr>
              <w:t>There is a lack of infrastructure to support new development.</w:t>
            </w:r>
          </w:p>
        </w:tc>
        <w:tc>
          <w:tcPr>
            <w:tcW w:w="850" w:type="dxa"/>
            <w:vAlign w:val="center"/>
          </w:tcPr>
          <w:p w14:paraId="750B7BE0" w14:textId="3E8C8F70"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50.7%</w:t>
            </w:r>
          </w:p>
        </w:tc>
        <w:tc>
          <w:tcPr>
            <w:tcW w:w="709" w:type="dxa"/>
            <w:vAlign w:val="center"/>
          </w:tcPr>
          <w:p w14:paraId="549C461F" w14:textId="31679753"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23.7%</w:t>
            </w:r>
          </w:p>
        </w:tc>
        <w:tc>
          <w:tcPr>
            <w:tcW w:w="917" w:type="dxa"/>
            <w:vAlign w:val="center"/>
          </w:tcPr>
          <w:p w14:paraId="0A3AF5F2" w14:textId="6E252A9C"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15.3%</w:t>
            </w:r>
          </w:p>
        </w:tc>
        <w:tc>
          <w:tcPr>
            <w:tcW w:w="764" w:type="dxa"/>
            <w:vAlign w:val="center"/>
          </w:tcPr>
          <w:p w14:paraId="12FA00DC" w14:textId="22E08C3F"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5.9%</w:t>
            </w:r>
          </w:p>
        </w:tc>
        <w:tc>
          <w:tcPr>
            <w:tcW w:w="764" w:type="dxa"/>
            <w:vAlign w:val="center"/>
          </w:tcPr>
          <w:p w14:paraId="1BFFB763" w14:textId="1B71242E"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2.0%</w:t>
            </w:r>
          </w:p>
        </w:tc>
        <w:tc>
          <w:tcPr>
            <w:tcW w:w="764" w:type="dxa"/>
            <w:vAlign w:val="center"/>
          </w:tcPr>
          <w:p w14:paraId="3C2B2509" w14:textId="5E85C3A3"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2.5%</w:t>
            </w:r>
          </w:p>
        </w:tc>
      </w:tr>
      <w:tr w:rsidR="00637F22" w:rsidRPr="00637F22" w14:paraId="36DCEA9A" w14:textId="77777777" w:rsidTr="00637F22">
        <w:tc>
          <w:tcPr>
            <w:tcW w:w="4395" w:type="dxa"/>
          </w:tcPr>
          <w:p w14:paraId="3CD76509" w14:textId="4CAF36A1" w:rsidR="00637F22" w:rsidRPr="00637F22" w:rsidRDefault="00637F22" w:rsidP="00637F22">
            <w:pPr>
              <w:pStyle w:val="ListParagraph"/>
              <w:ind w:left="0"/>
              <w:jc w:val="both"/>
              <w:rPr>
                <w:rFonts w:cstheme="minorHAnsi"/>
                <w:color w:val="FF0000"/>
                <w:sz w:val="20"/>
                <w:szCs w:val="20"/>
              </w:rPr>
            </w:pPr>
            <w:r w:rsidRPr="00637F22">
              <w:rPr>
                <w:rFonts w:cstheme="minorHAnsi"/>
                <w:sz w:val="20"/>
                <w:szCs w:val="20"/>
              </w:rPr>
              <w:lastRenderedPageBreak/>
              <w:t>It is difficult to move around the area without a car.</w:t>
            </w:r>
          </w:p>
        </w:tc>
        <w:tc>
          <w:tcPr>
            <w:tcW w:w="850" w:type="dxa"/>
            <w:vAlign w:val="center"/>
          </w:tcPr>
          <w:p w14:paraId="2E4BE203" w14:textId="78CFA656"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37.4%</w:t>
            </w:r>
          </w:p>
        </w:tc>
        <w:tc>
          <w:tcPr>
            <w:tcW w:w="709" w:type="dxa"/>
            <w:vAlign w:val="center"/>
          </w:tcPr>
          <w:p w14:paraId="302A5B77" w14:textId="512D2801"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28.1%</w:t>
            </w:r>
          </w:p>
        </w:tc>
        <w:tc>
          <w:tcPr>
            <w:tcW w:w="917" w:type="dxa"/>
            <w:vAlign w:val="center"/>
          </w:tcPr>
          <w:p w14:paraId="6403BDEB" w14:textId="4C648475"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13.3%</w:t>
            </w:r>
          </w:p>
        </w:tc>
        <w:tc>
          <w:tcPr>
            <w:tcW w:w="764" w:type="dxa"/>
            <w:vAlign w:val="center"/>
          </w:tcPr>
          <w:p w14:paraId="7E99CA77" w14:textId="473A4B07"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11.8%</w:t>
            </w:r>
          </w:p>
        </w:tc>
        <w:tc>
          <w:tcPr>
            <w:tcW w:w="764" w:type="dxa"/>
            <w:vAlign w:val="center"/>
          </w:tcPr>
          <w:p w14:paraId="6CF93F39" w14:textId="225D332C"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6.9%</w:t>
            </w:r>
          </w:p>
        </w:tc>
        <w:tc>
          <w:tcPr>
            <w:tcW w:w="764" w:type="dxa"/>
            <w:vAlign w:val="center"/>
          </w:tcPr>
          <w:p w14:paraId="30FB619F" w14:textId="6C80DA7A"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2.5%</w:t>
            </w:r>
          </w:p>
        </w:tc>
      </w:tr>
      <w:tr w:rsidR="00637F22" w:rsidRPr="00637F22" w14:paraId="0A791F26" w14:textId="77777777" w:rsidTr="00637F22">
        <w:tc>
          <w:tcPr>
            <w:tcW w:w="4395" w:type="dxa"/>
          </w:tcPr>
          <w:p w14:paraId="5420E79E" w14:textId="264A5CB4" w:rsidR="00637F22" w:rsidRPr="00637F22" w:rsidRDefault="00637F22" w:rsidP="00637F22">
            <w:pPr>
              <w:pStyle w:val="ListParagraph"/>
              <w:ind w:left="0"/>
              <w:jc w:val="both"/>
              <w:rPr>
                <w:rFonts w:cstheme="minorHAnsi"/>
                <w:color w:val="FF0000"/>
                <w:sz w:val="20"/>
                <w:szCs w:val="20"/>
              </w:rPr>
            </w:pPr>
            <w:r w:rsidRPr="00637F22">
              <w:rPr>
                <w:rFonts w:cstheme="minorHAnsi"/>
                <w:sz w:val="20"/>
                <w:szCs w:val="20"/>
              </w:rPr>
              <w:t>There are areas in need of investment to address inequality.</w:t>
            </w:r>
          </w:p>
        </w:tc>
        <w:tc>
          <w:tcPr>
            <w:tcW w:w="850" w:type="dxa"/>
            <w:vAlign w:val="center"/>
          </w:tcPr>
          <w:p w14:paraId="0D6271CB" w14:textId="0DD32BE7"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32.0%</w:t>
            </w:r>
          </w:p>
        </w:tc>
        <w:tc>
          <w:tcPr>
            <w:tcW w:w="709" w:type="dxa"/>
            <w:vAlign w:val="center"/>
          </w:tcPr>
          <w:p w14:paraId="14B4209C" w14:textId="7947ED78"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32.5%</w:t>
            </w:r>
          </w:p>
        </w:tc>
        <w:tc>
          <w:tcPr>
            <w:tcW w:w="917" w:type="dxa"/>
            <w:vAlign w:val="center"/>
          </w:tcPr>
          <w:p w14:paraId="5D53CC6C" w14:textId="576E0968"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23.2%</w:t>
            </w:r>
          </w:p>
        </w:tc>
        <w:tc>
          <w:tcPr>
            <w:tcW w:w="764" w:type="dxa"/>
            <w:vAlign w:val="center"/>
          </w:tcPr>
          <w:p w14:paraId="72D63D92" w14:textId="336BBB84"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6.4%</w:t>
            </w:r>
          </w:p>
        </w:tc>
        <w:tc>
          <w:tcPr>
            <w:tcW w:w="764" w:type="dxa"/>
            <w:vAlign w:val="center"/>
          </w:tcPr>
          <w:p w14:paraId="20051149" w14:textId="47057D89"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3.0%</w:t>
            </w:r>
          </w:p>
        </w:tc>
        <w:tc>
          <w:tcPr>
            <w:tcW w:w="764" w:type="dxa"/>
            <w:vAlign w:val="center"/>
          </w:tcPr>
          <w:p w14:paraId="7D74F21C" w14:textId="38ADCEA8"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3.0%</w:t>
            </w:r>
          </w:p>
        </w:tc>
      </w:tr>
      <w:tr w:rsidR="00637F22" w:rsidRPr="00637F22" w14:paraId="3D94AAB0" w14:textId="77777777" w:rsidTr="00637F22">
        <w:tc>
          <w:tcPr>
            <w:tcW w:w="4395" w:type="dxa"/>
          </w:tcPr>
          <w:p w14:paraId="63ACBBC3" w14:textId="7EDDCD5B" w:rsidR="00637F22" w:rsidRPr="00637F22" w:rsidRDefault="00637F22" w:rsidP="00637F22">
            <w:pPr>
              <w:pStyle w:val="ListParagraph"/>
              <w:ind w:left="0"/>
              <w:jc w:val="both"/>
              <w:rPr>
                <w:rFonts w:cstheme="minorHAnsi"/>
                <w:color w:val="FF0000"/>
                <w:sz w:val="20"/>
                <w:szCs w:val="20"/>
              </w:rPr>
            </w:pPr>
            <w:r w:rsidRPr="00637F22">
              <w:rPr>
                <w:rFonts w:cstheme="minorHAnsi"/>
                <w:sz w:val="20"/>
                <w:szCs w:val="20"/>
              </w:rPr>
              <w:t>There is a lack of housing and in particular affordable housing.</w:t>
            </w:r>
          </w:p>
        </w:tc>
        <w:tc>
          <w:tcPr>
            <w:tcW w:w="850" w:type="dxa"/>
            <w:vAlign w:val="center"/>
          </w:tcPr>
          <w:p w14:paraId="74AC0233" w14:textId="1E1C2375"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24.6%</w:t>
            </w:r>
          </w:p>
        </w:tc>
        <w:tc>
          <w:tcPr>
            <w:tcW w:w="709" w:type="dxa"/>
            <w:vAlign w:val="center"/>
          </w:tcPr>
          <w:p w14:paraId="05DD60FB" w14:textId="3888FBAC"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22.7%</w:t>
            </w:r>
          </w:p>
        </w:tc>
        <w:tc>
          <w:tcPr>
            <w:tcW w:w="917" w:type="dxa"/>
            <w:vAlign w:val="center"/>
          </w:tcPr>
          <w:p w14:paraId="18DE39CE" w14:textId="7A2BC9DA"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18.7%</w:t>
            </w:r>
          </w:p>
        </w:tc>
        <w:tc>
          <w:tcPr>
            <w:tcW w:w="764" w:type="dxa"/>
            <w:vAlign w:val="center"/>
          </w:tcPr>
          <w:p w14:paraId="205C454A" w14:textId="7CEB9E43"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21.2%</w:t>
            </w:r>
          </w:p>
        </w:tc>
        <w:tc>
          <w:tcPr>
            <w:tcW w:w="764" w:type="dxa"/>
            <w:vAlign w:val="center"/>
          </w:tcPr>
          <w:p w14:paraId="0EDAFD3B" w14:textId="76236A18"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10.3%</w:t>
            </w:r>
          </w:p>
        </w:tc>
        <w:tc>
          <w:tcPr>
            <w:tcW w:w="764" w:type="dxa"/>
            <w:vAlign w:val="center"/>
          </w:tcPr>
          <w:p w14:paraId="02316FA4" w14:textId="47AA215D"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2.5%</w:t>
            </w:r>
          </w:p>
        </w:tc>
      </w:tr>
      <w:tr w:rsidR="00637F22" w:rsidRPr="00637F22" w14:paraId="05CB44C6" w14:textId="77777777" w:rsidTr="00637F22">
        <w:tc>
          <w:tcPr>
            <w:tcW w:w="4395" w:type="dxa"/>
          </w:tcPr>
          <w:p w14:paraId="0B65000E" w14:textId="64CED65B" w:rsidR="00637F22" w:rsidRPr="00637F22" w:rsidRDefault="00637F22" w:rsidP="00637F22">
            <w:pPr>
              <w:pStyle w:val="ListParagraph"/>
              <w:ind w:left="0"/>
              <w:jc w:val="both"/>
              <w:rPr>
                <w:rFonts w:cstheme="minorHAnsi"/>
                <w:color w:val="FF0000"/>
                <w:sz w:val="20"/>
                <w:szCs w:val="20"/>
              </w:rPr>
            </w:pPr>
            <w:r w:rsidRPr="00637F22">
              <w:rPr>
                <w:rFonts w:cstheme="minorHAnsi"/>
                <w:sz w:val="20"/>
                <w:szCs w:val="20"/>
              </w:rPr>
              <w:t>A lack of visible progress makes it difficult to get further investment in the area.</w:t>
            </w:r>
          </w:p>
        </w:tc>
        <w:tc>
          <w:tcPr>
            <w:tcW w:w="850" w:type="dxa"/>
            <w:vAlign w:val="center"/>
          </w:tcPr>
          <w:p w14:paraId="3CBFC299" w14:textId="6E025EA3"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17.7%</w:t>
            </w:r>
          </w:p>
        </w:tc>
        <w:tc>
          <w:tcPr>
            <w:tcW w:w="709" w:type="dxa"/>
            <w:vAlign w:val="center"/>
          </w:tcPr>
          <w:p w14:paraId="23993330" w14:textId="6BF57D89"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24.1%</w:t>
            </w:r>
          </w:p>
        </w:tc>
        <w:tc>
          <w:tcPr>
            <w:tcW w:w="917" w:type="dxa"/>
            <w:vAlign w:val="center"/>
          </w:tcPr>
          <w:p w14:paraId="474D767A" w14:textId="43DDE762"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41.4%</w:t>
            </w:r>
          </w:p>
        </w:tc>
        <w:tc>
          <w:tcPr>
            <w:tcW w:w="764" w:type="dxa"/>
            <w:vAlign w:val="center"/>
          </w:tcPr>
          <w:p w14:paraId="01C70F73" w14:textId="330262C2"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10.8%</w:t>
            </w:r>
          </w:p>
        </w:tc>
        <w:tc>
          <w:tcPr>
            <w:tcW w:w="764" w:type="dxa"/>
            <w:vAlign w:val="center"/>
          </w:tcPr>
          <w:p w14:paraId="4CA85C2F" w14:textId="7D93833D"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2.5%</w:t>
            </w:r>
          </w:p>
        </w:tc>
        <w:tc>
          <w:tcPr>
            <w:tcW w:w="764" w:type="dxa"/>
            <w:vAlign w:val="center"/>
          </w:tcPr>
          <w:p w14:paraId="71E553C3" w14:textId="1F1EC867" w:rsidR="00637F22" w:rsidRPr="00637F22" w:rsidRDefault="00637F22" w:rsidP="00637F22">
            <w:pPr>
              <w:pStyle w:val="ListParagraph"/>
              <w:ind w:left="0"/>
              <w:jc w:val="center"/>
              <w:rPr>
                <w:rFonts w:cstheme="minorHAnsi"/>
                <w:color w:val="FF0000"/>
                <w:sz w:val="20"/>
                <w:szCs w:val="20"/>
              </w:rPr>
            </w:pPr>
            <w:r w:rsidRPr="00637F22">
              <w:rPr>
                <w:rFonts w:cstheme="minorHAnsi"/>
                <w:sz w:val="20"/>
                <w:szCs w:val="20"/>
              </w:rPr>
              <w:t>3.5%</w:t>
            </w:r>
          </w:p>
        </w:tc>
      </w:tr>
    </w:tbl>
    <w:p w14:paraId="655489D4" w14:textId="77777777" w:rsidR="00C90563" w:rsidRPr="00637F22" w:rsidRDefault="00C90563" w:rsidP="00C56375">
      <w:pPr>
        <w:pStyle w:val="ListParagraph"/>
        <w:ind w:left="792"/>
        <w:jc w:val="both"/>
        <w:rPr>
          <w:rFonts w:cstheme="minorHAnsi"/>
        </w:rPr>
      </w:pPr>
    </w:p>
    <w:p w14:paraId="57FB0012" w14:textId="3631DED7" w:rsidR="00C56375" w:rsidRDefault="00182EFE" w:rsidP="00514A66">
      <w:pPr>
        <w:pStyle w:val="ListParagraph"/>
        <w:numPr>
          <w:ilvl w:val="1"/>
          <w:numId w:val="37"/>
        </w:numPr>
        <w:ind w:hanging="934"/>
        <w:jc w:val="both"/>
        <w:rPr>
          <w:rFonts w:cstheme="minorHAnsi"/>
        </w:rPr>
      </w:pPr>
      <w:r>
        <w:rPr>
          <w:rFonts w:cstheme="minorHAnsi"/>
        </w:rPr>
        <w:t>Respondents were generally in agreement with the statements, albeit while being more ambivalent with regards to the statements around there being a lack of housing. There was strong agreement that more detailed master planning is needed</w:t>
      </w:r>
      <w:r w:rsidR="00514A66">
        <w:rPr>
          <w:rFonts w:cstheme="minorHAnsi"/>
        </w:rPr>
        <w:t>,</w:t>
      </w:r>
      <w:r>
        <w:rPr>
          <w:rFonts w:cstheme="minorHAnsi"/>
        </w:rPr>
        <w:t xml:space="preserve"> and that </w:t>
      </w:r>
      <w:r w:rsidR="00514A66">
        <w:rPr>
          <w:rFonts w:cstheme="minorHAnsi"/>
        </w:rPr>
        <w:t xml:space="preserve">existing </w:t>
      </w:r>
      <w:r>
        <w:rPr>
          <w:rFonts w:cstheme="minorHAnsi"/>
        </w:rPr>
        <w:t>infrastructure is inadequate to support new development.</w:t>
      </w:r>
    </w:p>
    <w:p w14:paraId="120AE3D9" w14:textId="77777777" w:rsidR="005B7187" w:rsidRDefault="005B7187" w:rsidP="00514A66">
      <w:pPr>
        <w:pStyle w:val="ListParagraph"/>
        <w:ind w:left="792" w:hanging="934"/>
        <w:jc w:val="both"/>
        <w:rPr>
          <w:rFonts w:cstheme="minorHAnsi"/>
        </w:rPr>
      </w:pPr>
    </w:p>
    <w:p w14:paraId="65D70CA1" w14:textId="4CB6E115" w:rsidR="005B7187" w:rsidRDefault="005B7187" w:rsidP="00514A66">
      <w:pPr>
        <w:pStyle w:val="ListParagraph"/>
        <w:numPr>
          <w:ilvl w:val="1"/>
          <w:numId w:val="37"/>
        </w:numPr>
        <w:ind w:hanging="934"/>
        <w:jc w:val="both"/>
        <w:rPr>
          <w:rFonts w:cstheme="minorHAnsi"/>
        </w:rPr>
      </w:pPr>
      <w:r>
        <w:rPr>
          <w:rFonts w:cstheme="minorHAnsi"/>
        </w:rPr>
        <w:t xml:space="preserve">Respondents </w:t>
      </w:r>
      <w:r w:rsidR="00387932">
        <w:rPr>
          <w:rFonts w:cstheme="minorHAnsi"/>
        </w:rPr>
        <w:t>were invited to identify additional barriers to inclusive growth in West Edinburgh</w:t>
      </w:r>
      <w:r>
        <w:rPr>
          <w:rFonts w:cstheme="minorHAnsi"/>
        </w:rPr>
        <w:t xml:space="preserve">. </w:t>
      </w:r>
      <w:r w:rsidR="00571741">
        <w:rPr>
          <w:rFonts w:cstheme="minorHAnsi"/>
        </w:rPr>
        <w:t>Recurrent t</w:t>
      </w:r>
      <w:r>
        <w:rPr>
          <w:rFonts w:cstheme="minorHAnsi"/>
        </w:rPr>
        <w:t>hemes included</w:t>
      </w:r>
      <w:r w:rsidR="00057EFF">
        <w:rPr>
          <w:rFonts w:cstheme="minorHAnsi"/>
        </w:rPr>
        <w:t xml:space="preserve"> challenges around travel, such as road infrastructure constraints</w:t>
      </w:r>
      <w:r w:rsidR="008D3F00">
        <w:rPr>
          <w:rFonts w:cstheme="minorHAnsi"/>
        </w:rPr>
        <w:t>, unsafe roads,</w:t>
      </w:r>
      <w:r w:rsidR="00057EFF">
        <w:rPr>
          <w:rFonts w:cstheme="minorHAnsi"/>
        </w:rPr>
        <w:t xml:space="preserve"> and public transport limitations. The difficulty of travelling without a car was reiterated.</w:t>
      </w:r>
      <w:r w:rsidR="00F25C51">
        <w:rPr>
          <w:rFonts w:cstheme="minorHAnsi"/>
        </w:rPr>
        <w:t xml:space="preserve"> Other themes included a lack of amenities for residents and an insufficient range of employment uses.</w:t>
      </w:r>
    </w:p>
    <w:p w14:paraId="5843A9F0" w14:textId="77777777" w:rsidR="005B7187" w:rsidRDefault="005B7187" w:rsidP="00514A66">
      <w:pPr>
        <w:pStyle w:val="ListParagraph"/>
        <w:ind w:left="792" w:hanging="934"/>
        <w:jc w:val="both"/>
        <w:rPr>
          <w:rFonts w:cstheme="minorHAnsi"/>
        </w:rPr>
      </w:pPr>
    </w:p>
    <w:tbl>
      <w:tblPr>
        <w:tblStyle w:val="TableGrid"/>
        <w:tblW w:w="0" w:type="auto"/>
        <w:tblInd w:w="-147" w:type="dxa"/>
        <w:tblLook w:val="04A0" w:firstRow="1" w:lastRow="0" w:firstColumn="1" w:lastColumn="0" w:noHBand="0" w:noVBand="1"/>
      </w:tblPr>
      <w:tblGrid>
        <w:gridCol w:w="9163"/>
      </w:tblGrid>
      <w:tr w:rsidR="000C5AF3" w14:paraId="7592751B" w14:textId="77777777" w:rsidTr="003F1CE0">
        <w:tc>
          <w:tcPr>
            <w:tcW w:w="9163" w:type="dxa"/>
            <w:shd w:val="clear" w:color="auto" w:fill="D9D9D9" w:themeFill="background1" w:themeFillShade="D9"/>
          </w:tcPr>
          <w:p w14:paraId="0B41C796" w14:textId="15BC4634" w:rsidR="000C5AF3" w:rsidRPr="00514A66" w:rsidRDefault="000C5AF3" w:rsidP="008B6570">
            <w:pPr>
              <w:pStyle w:val="ListParagraph"/>
              <w:ind w:left="0"/>
              <w:jc w:val="center"/>
              <w:rPr>
                <w:b/>
                <w:bCs/>
              </w:rPr>
            </w:pPr>
            <w:r w:rsidRPr="00514A66">
              <w:rPr>
                <w:b/>
                <w:bCs/>
              </w:rPr>
              <w:t>Response</w:t>
            </w:r>
            <w:r>
              <w:rPr>
                <w:b/>
                <w:bCs/>
              </w:rPr>
              <w:t xml:space="preserve"> to views on barriers to inclusive growth in West Edinburgh</w:t>
            </w:r>
          </w:p>
        </w:tc>
      </w:tr>
      <w:tr w:rsidR="000C5AF3" w14:paraId="33025256" w14:textId="77777777" w:rsidTr="003F1CE0">
        <w:tc>
          <w:tcPr>
            <w:tcW w:w="9163" w:type="dxa"/>
          </w:tcPr>
          <w:p w14:paraId="0EA38A6E" w14:textId="23ACC894" w:rsidR="000C5AF3" w:rsidRPr="00DC4B94" w:rsidRDefault="00DC4B94" w:rsidP="00DC4B94">
            <w:pPr>
              <w:jc w:val="both"/>
            </w:pPr>
            <w:r w:rsidRPr="00DC4B94">
              <w:t>“</w:t>
            </w:r>
            <w:r w:rsidRPr="00DC4B94">
              <w:t>Local concerns around overdevelopment and loss of greenspace</w:t>
            </w:r>
            <w:r w:rsidRPr="00DC4B94">
              <w:t>”, “</w:t>
            </w:r>
            <w:r w:rsidRPr="00DC4B94">
              <w:t>Public transport limitations, unsafe roads, and infrastructure constraints</w:t>
            </w:r>
            <w:r w:rsidRPr="00DC4B94">
              <w:t>”, and “</w:t>
            </w:r>
            <w:r w:rsidRPr="00DC4B94">
              <w:t>Lack of amenities for residents and insufficient range of employment uses</w:t>
            </w:r>
            <w:r w:rsidRPr="00DC4B94">
              <w:t>” have been added under “Barriers to Inclusive Growth”.</w:t>
            </w:r>
          </w:p>
        </w:tc>
      </w:tr>
    </w:tbl>
    <w:p w14:paraId="07CE2A84" w14:textId="77777777" w:rsidR="000C5AF3" w:rsidRPr="00C15F47" w:rsidRDefault="000C5AF3" w:rsidP="00514A66">
      <w:pPr>
        <w:pStyle w:val="ListParagraph"/>
        <w:ind w:left="792" w:hanging="934"/>
        <w:jc w:val="both"/>
        <w:rPr>
          <w:rFonts w:cstheme="minorHAnsi"/>
        </w:rPr>
      </w:pPr>
    </w:p>
    <w:p w14:paraId="389E2FCD" w14:textId="258B49CE" w:rsidR="00F25C51" w:rsidRPr="00C15F47" w:rsidRDefault="00F25C51" w:rsidP="00514A66">
      <w:pPr>
        <w:pStyle w:val="ListParagraph"/>
        <w:numPr>
          <w:ilvl w:val="1"/>
          <w:numId w:val="37"/>
        </w:numPr>
        <w:ind w:hanging="934"/>
        <w:jc w:val="both"/>
        <w:rPr>
          <w:rFonts w:cstheme="minorHAnsi"/>
        </w:rPr>
      </w:pPr>
      <w:r w:rsidRPr="00C15F47">
        <w:rPr>
          <w:rFonts w:cstheme="minorHAnsi"/>
        </w:rPr>
        <w:t>Respondents were asked if they agreed with the vision for West Edinburgh.</w:t>
      </w:r>
    </w:p>
    <w:p w14:paraId="279C90A2" w14:textId="77777777" w:rsidR="00F25C51" w:rsidRPr="00F25C51" w:rsidRDefault="00F25C51" w:rsidP="00F25C51">
      <w:pPr>
        <w:pStyle w:val="ListParagraph"/>
        <w:rPr>
          <w:rFonts w:cstheme="minorHAnsi"/>
          <w:color w:val="FF0000"/>
        </w:rPr>
      </w:pPr>
    </w:p>
    <w:tbl>
      <w:tblPr>
        <w:tblStyle w:val="TableGrid"/>
        <w:tblW w:w="0" w:type="auto"/>
        <w:tblInd w:w="-147" w:type="dxa"/>
        <w:tblLook w:val="04A0" w:firstRow="1" w:lastRow="0" w:firstColumn="1" w:lastColumn="0" w:noHBand="0" w:noVBand="1"/>
      </w:tblPr>
      <w:tblGrid>
        <w:gridCol w:w="4390"/>
        <w:gridCol w:w="850"/>
        <w:gridCol w:w="714"/>
        <w:gridCol w:w="917"/>
        <w:gridCol w:w="764"/>
        <w:gridCol w:w="764"/>
        <w:gridCol w:w="764"/>
      </w:tblGrid>
      <w:tr w:rsidR="00F25C51" w:rsidRPr="00F25C51" w14:paraId="6AFECBBD" w14:textId="77777777" w:rsidTr="00E001C6">
        <w:trPr>
          <w:cantSplit/>
          <w:trHeight w:val="1134"/>
        </w:trPr>
        <w:tc>
          <w:tcPr>
            <w:tcW w:w="4390" w:type="dxa"/>
            <w:shd w:val="clear" w:color="auto" w:fill="D9D9D9" w:themeFill="background1" w:themeFillShade="D9"/>
            <w:vAlign w:val="center"/>
          </w:tcPr>
          <w:p w14:paraId="3C65636E" w14:textId="281AB54F" w:rsidR="00F25C51" w:rsidRPr="00C15F47" w:rsidRDefault="000C5AF3" w:rsidP="00E001C6">
            <w:pPr>
              <w:pStyle w:val="ListParagraph"/>
              <w:ind w:left="0"/>
              <w:jc w:val="center"/>
              <w:rPr>
                <w:rFonts w:cstheme="minorHAnsi"/>
                <w:b/>
                <w:bCs/>
                <w:sz w:val="20"/>
                <w:szCs w:val="20"/>
              </w:rPr>
            </w:pPr>
            <w:r>
              <w:rPr>
                <w:rFonts w:cstheme="minorHAnsi"/>
                <w:b/>
                <w:bCs/>
                <w:sz w:val="20"/>
                <w:szCs w:val="20"/>
              </w:rPr>
              <w:t>Vision for West Edinburgh</w:t>
            </w:r>
          </w:p>
        </w:tc>
        <w:tc>
          <w:tcPr>
            <w:tcW w:w="850" w:type="dxa"/>
            <w:shd w:val="clear" w:color="auto" w:fill="D9D9D9" w:themeFill="background1" w:themeFillShade="D9"/>
            <w:textDirection w:val="btLr"/>
            <w:vAlign w:val="center"/>
          </w:tcPr>
          <w:p w14:paraId="18A43EDE" w14:textId="77777777" w:rsidR="00F25C51" w:rsidRPr="00C15F47" w:rsidRDefault="00F25C51" w:rsidP="00E001C6">
            <w:pPr>
              <w:pStyle w:val="ListParagraph"/>
              <w:ind w:left="113" w:right="113"/>
              <w:jc w:val="center"/>
              <w:rPr>
                <w:rFonts w:cstheme="minorHAnsi"/>
                <w:b/>
                <w:bCs/>
                <w:sz w:val="20"/>
                <w:szCs w:val="20"/>
              </w:rPr>
            </w:pPr>
            <w:r w:rsidRPr="00C15F47">
              <w:rPr>
                <w:rFonts w:cstheme="minorHAnsi"/>
                <w:b/>
                <w:bCs/>
                <w:sz w:val="20"/>
                <w:szCs w:val="20"/>
              </w:rPr>
              <w:t>Strongly agree</w:t>
            </w:r>
          </w:p>
        </w:tc>
        <w:tc>
          <w:tcPr>
            <w:tcW w:w="714" w:type="dxa"/>
            <w:shd w:val="clear" w:color="auto" w:fill="D9D9D9" w:themeFill="background1" w:themeFillShade="D9"/>
            <w:textDirection w:val="btLr"/>
            <w:vAlign w:val="center"/>
          </w:tcPr>
          <w:p w14:paraId="700C7E32" w14:textId="77777777" w:rsidR="00F25C51" w:rsidRPr="00C15F47" w:rsidRDefault="00F25C51" w:rsidP="00E001C6">
            <w:pPr>
              <w:pStyle w:val="ListParagraph"/>
              <w:ind w:left="113" w:right="113"/>
              <w:jc w:val="center"/>
              <w:rPr>
                <w:rFonts w:cstheme="minorHAnsi"/>
                <w:b/>
                <w:bCs/>
                <w:sz w:val="20"/>
                <w:szCs w:val="20"/>
              </w:rPr>
            </w:pPr>
            <w:r w:rsidRPr="00C15F47">
              <w:rPr>
                <w:rFonts w:cstheme="minorHAnsi"/>
                <w:b/>
                <w:bCs/>
                <w:sz w:val="20"/>
                <w:szCs w:val="20"/>
              </w:rPr>
              <w:t>Agree</w:t>
            </w:r>
          </w:p>
        </w:tc>
        <w:tc>
          <w:tcPr>
            <w:tcW w:w="917" w:type="dxa"/>
            <w:shd w:val="clear" w:color="auto" w:fill="D9D9D9" w:themeFill="background1" w:themeFillShade="D9"/>
            <w:textDirection w:val="btLr"/>
            <w:vAlign w:val="center"/>
          </w:tcPr>
          <w:p w14:paraId="2A52432B" w14:textId="77777777" w:rsidR="00F25C51" w:rsidRPr="00C15F47" w:rsidRDefault="00F25C51" w:rsidP="00E001C6">
            <w:pPr>
              <w:pStyle w:val="ListParagraph"/>
              <w:ind w:left="113" w:right="113"/>
              <w:jc w:val="center"/>
              <w:rPr>
                <w:rFonts w:cstheme="minorHAnsi"/>
                <w:b/>
                <w:bCs/>
                <w:sz w:val="20"/>
                <w:szCs w:val="20"/>
              </w:rPr>
            </w:pPr>
            <w:r w:rsidRPr="00C15F47">
              <w:rPr>
                <w:rFonts w:cstheme="minorHAnsi"/>
                <w:b/>
                <w:bCs/>
                <w:sz w:val="20"/>
                <w:szCs w:val="20"/>
              </w:rPr>
              <w:t>Neither agree nor disagree</w:t>
            </w:r>
          </w:p>
        </w:tc>
        <w:tc>
          <w:tcPr>
            <w:tcW w:w="764" w:type="dxa"/>
            <w:shd w:val="clear" w:color="auto" w:fill="D9D9D9" w:themeFill="background1" w:themeFillShade="D9"/>
            <w:textDirection w:val="btLr"/>
            <w:vAlign w:val="center"/>
          </w:tcPr>
          <w:p w14:paraId="30E79DF7" w14:textId="77777777" w:rsidR="00F25C51" w:rsidRPr="00C15F47" w:rsidRDefault="00F25C51" w:rsidP="00E001C6">
            <w:pPr>
              <w:pStyle w:val="ListParagraph"/>
              <w:ind w:left="113" w:right="113"/>
              <w:jc w:val="center"/>
              <w:rPr>
                <w:rFonts w:cstheme="minorHAnsi"/>
                <w:b/>
                <w:bCs/>
                <w:sz w:val="20"/>
                <w:szCs w:val="20"/>
              </w:rPr>
            </w:pPr>
            <w:r w:rsidRPr="00C15F47">
              <w:rPr>
                <w:rFonts w:cstheme="minorHAnsi"/>
                <w:b/>
                <w:bCs/>
                <w:sz w:val="20"/>
                <w:szCs w:val="20"/>
              </w:rPr>
              <w:t>Disagree</w:t>
            </w:r>
          </w:p>
        </w:tc>
        <w:tc>
          <w:tcPr>
            <w:tcW w:w="764" w:type="dxa"/>
            <w:shd w:val="clear" w:color="auto" w:fill="D9D9D9" w:themeFill="background1" w:themeFillShade="D9"/>
            <w:textDirection w:val="btLr"/>
            <w:vAlign w:val="center"/>
          </w:tcPr>
          <w:p w14:paraId="40A3E24D" w14:textId="77777777" w:rsidR="00F25C51" w:rsidRPr="00C15F47" w:rsidRDefault="00F25C51" w:rsidP="00E001C6">
            <w:pPr>
              <w:pStyle w:val="ListParagraph"/>
              <w:ind w:left="113" w:right="113"/>
              <w:jc w:val="center"/>
              <w:rPr>
                <w:rFonts w:cstheme="minorHAnsi"/>
                <w:b/>
                <w:bCs/>
                <w:sz w:val="20"/>
                <w:szCs w:val="20"/>
              </w:rPr>
            </w:pPr>
            <w:r w:rsidRPr="00C15F47">
              <w:rPr>
                <w:rFonts w:cstheme="minorHAnsi"/>
                <w:b/>
                <w:bCs/>
                <w:sz w:val="20"/>
                <w:szCs w:val="20"/>
              </w:rPr>
              <w:t>Strongly disagree</w:t>
            </w:r>
          </w:p>
        </w:tc>
        <w:tc>
          <w:tcPr>
            <w:tcW w:w="764" w:type="dxa"/>
            <w:shd w:val="clear" w:color="auto" w:fill="D9D9D9" w:themeFill="background1" w:themeFillShade="D9"/>
            <w:textDirection w:val="btLr"/>
            <w:vAlign w:val="center"/>
          </w:tcPr>
          <w:p w14:paraId="6A2D6815" w14:textId="77777777" w:rsidR="00F25C51" w:rsidRPr="00C15F47" w:rsidRDefault="00F25C51" w:rsidP="00E001C6">
            <w:pPr>
              <w:pStyle w:val="ListParagraph"/>
              <w:ind w:left="113" w:right="113"/>
              <w:jc w:val="center"/>
              <w:rPr>
                <w:rFonts w:cstheme="minorHAnsi"/>
                <w:b/>
                <w:bCs/>
                <w:sz w:val="20"/>
                <w:szCs w:val="20"/>
              </w:rPr>
            </w:pPr>
            <w:r w:rsidRPr="00C15F47">
              <w:rPr>
                <w:rFonts w:cstheme="minorHAnsi"/>
                <w:b/>
                <w:bCs/>
                <w:sz w:val="20"/>
                <w:szCs w:val="20"/>
              </w:rPr>
              <w:t>Not answered</w:t>
            </w:r>
          </w:p>
        </w:tc>
      </w:tr>
      <w:tr w:rsidR="00C15F47" w:rsidRPr="00F25C51" w14:paraId="790F6185" w14:textId="77777777" w:rsidTr="00C15F47">
        <w:tc>
          <w:tcPr>
            <w:tcW w:w="4390" w:type="dxa"/>
          </w:tcPr>
          <w:p w14:paraId="4BDAF0E5" w14:textId="12A29E47" w:rsidR="00C15F47" w:rsidRPr="00C15F47" w:rsidRDefault="00C15F47" w:rsidP="00C15F47">
            <w:pPr>
              <w:jc w:val="both"/>
              <w:rPr>
                <w:rFonts w:cstheme="minorHAnsi"/>
                <w:sz w:val="20"/>
                <w:szCs w:val="20"/>
              </w:rPr>
            </w:pPr>
            <w:r w:rsidRPr="00C15F47">
              <w:rPr>
                <w:rFonts w:cstheme="minorHAnsi"/>
                <w:sz w:val="20"/>
                <w:szCs w:val="20"/>
              </w:rPr>
              <w:t>To what extent do you agree or disagree with this vision?</w:t>
            </w:r>
          </w:p>
        </w:tc>
        <w:tc>
          <w:tcPr>
            <w:tcW w:w="850" w:type="dxa"/>
            <w:vAlign w:val="center"/>
          </w:tcPr>
          <w:p w14:paraId="295855F0" w14:textId="597BC524" w:rsidR="00C15F47" w:rsidRPr="00C15F47" w:rsidRDefault="00C15F47" w:rsidP="00C15F47">
            <w:pPr>
              <w:pStyle w:val="ListParagraph"/>
              <w:ind w:left="0"/>
              <w:jc w:val="center"/>
              <w:rPr>
                <w:rFonts w:cstheme="minorHAnsi"/>
                <w:sz w:val="20"/>
                <w:szCs w:val="20"/>
              </w:rPr>
            </w:pPr>
            <w:r w:rsidRPr="00C15F47">
              <w:rPr>
                <w:sz w:val="20"/>
                <w:szCs w:val="20"/>
              </w:rPr>
              <w:t>16.8%</w:t>
            </w:r>
          </w:p>
        </w:tc>
        <w:tc>
          <w:tcPr>
            <w:tcW w:w="714" w:type="dxa"/>
            <w:vAlign w:val="center"/>
          </w:tcPr>
          <w:p w14:paraId="3CE59C5F" w14:textId="43DF9954" w:rsidR="00C15F47" w:rsidRPr="00C15F47" w:rsidRDefault="00C15F47" w:rsidP="00C15F47">
            <w:pPr>
              <w:pStyle w:val="ListParagraph"/>
              <w:ind w:left="0"/>
              <w:jc w:val="center"/>
              <w:rPr>
                <w:rFonts w:cstheme="minorHAnsi"/>
                <w:sz w:val="20"/>
                <w:szCs w:val="20"/>
              </w:rPr>
            </w:pPr>
            <w:r w:rsidRPr="00C15F47">
              <w:rPr>
                <w:sz w:val="20"/>
                <w:szCs w:val="20"/>
              </w:rPr>
              <w:t>30.1%</w:t>
            </w:r>
          </w:p>
        </w:tc>
        <w:tc>
          <w:tcPr>
            <w:tcW w:w="917" w:type="dxa"/>
            <w:vAlign w:val="center"/>
          </w:tcPr>
          <w:p w14:paraId="4FACCD97" w14:textId="3DF55752" w:rsidR="00C15F47" w:rsidRPr="00C15F47" w:rsidRDefault="00C15F47" w:rsidP="00C15F47">
            <w:pPr>
              <w:pStyle w:val="ListParagraph"/>
              <w:ind w:left="0"/>
              <w:jc w:val="center"/>
              <w:rPr>
                <w:rFonts w:cstheme="minorHAnsi"/>
                <w:sz w:val="20"/>
                <w:szCs w:val="20"/>
              </w:rPr>
            </w:pPr>
            <w:r w:rsidRPr="00C15F47">
              <w:rPr>
                <w:sz w:val="20"/>
                <w:szCs w:val="20"/>
              </w:rPr>
              <w:t>19.2%</w:t>
            </w:r>
          </w:p>
        </w:tc>
        <w:tc>
          <w:tcPr>
            <w:tcW w:w="764" w:type="dxa"/>
            <w:vAlign w:val="center"/>
          </w:tcPr>
          <w:p w14:paraId="3357F4F8" w14:textId="5C0A928B" w:rsidR="00C15F47" w:rsidRPr="00C15F47" w:rsidRDefault="00C15F47" w:rsidP="00C15F47">
            <w:pPr>
              <w:pStyle w:val="ListParagraph"/>
              <w:ind w:left="0"/>
              <w:jc w:val="center"/>
              <w:rPr>
                <w:rFonts w:cstheme="minorHAnsi"/>
                <w:sz w:val="20"/>
                <w:szCs w:val="20"/>
              </w:rPr>
            </w:pPr>
            <w:r w:rsidRPr="00C15F47">
              <w:rPr>
                <w:sz w:val="20"/>
                <w:szCs w:val="20"/>
              </w:rPr>
              <w:t>16.3%</w:t>
            </w:r>
          </w:p>
        </w:tc>
        <w:tc>
          <w:tcPr>
            <w:tcW w:w="764" w:type="dxa"/>
            <w:vAlign w:val="center"/>
          </w:tcPr>
          <w:p w14:paraId="505DA323" w14:textId="75B0D361" w:rsidR="00C15F47" w:rsidRPr="00C15F47" w:rsidRDefault="00C15F47" w:rsidP="00C15F47">
            <w:pPr>
              <w:pStyle w:val="ListParagraph"/>
              <w:ind w:left="0"/>
              <w:jc w:val="center"/>
              <w:rPr>
                <w:rFonts w:cstheme="minorHAnsi"/>
                <w:sz w:val="20"/>
                <w:szCs w:val="20"/>
              </w:rPr>
            </w:pPr>
            <w:r w:rsidRPr="00C15F47">
              <w:rPr>
                <w:sz w:val="20"/>
                <w:szCs w:val="20"/>
              </w:rPr>
              <w:t>14.3%</w:t>
            </w:r>
          </w:p>
        </w:tc>
        <w:tc>
          <w:tcPr>
            <w:tcW w:w="764" w:type="dxa"/>
            <w:vAlign w:val="center"/>
          </w:tcPr>
          <w:p w14:paraId="334855C6" w14:textId="67625B37" w:rsidR="00C15F47" w:rsidRPr="00C15F47" w:rsidRDefault="00C15F47" w:rsidP="00C15F47">
            <w:pPr>
              <w:pStyle w:val="ListParagraph"/>
              <w:ind w:left="0"/>
              <w:jc w:val="center"/>
              <w:rPr>
                <w:rFonts w:cstheme="minorHAnsi"/>
                <w:sz w:val="20"/>
                <w:szCs w:val="20"/>
              </w:rPr>
            </w:pPr>
            <w:r w:rsidRPr="00C15F47">
              <w:rPr>
                <w:sz w:val="20"/>
                <w:szCs w:val="20"/>
              </w:rPr>
              <w:t>3.5%</w:t>
            </w:r>
          </w:p>
        </w:tc>
      </w:tr>
    </w:tbl>
    <w:p w14:paraId="5E1D2E4A" w14:textId="77777777" w:rsidR="00F25C51" w:rsidRPr="00F25C51" w:rsidRDefault="00F25C51" w:rsidP="00F25C51">
      <w:pPr>
        <w:pStyle w:val="ListParagraph"/>
        <w:ind w:left="792"/>
        <w:jc w:val="both"/>
        <w:rPr>
          <w:rFonts w:cstheme="minorHAnsi"/>
          <w:color w:val="FF0000"/>
        </w:rPr>
      </w:pPr>
    </w:p>
    <w:p w14:paraId="2085BA35" w14:textId="05FA260F" w:rsidR="00F25C51" w:rsidRPr="0045173F" w:rsidRDefault="00F25C51" w:rsidP="00514A66">
      <w:pPr>
        <w:pStyle w:val="ListParagraph"/>
        <w:numPr>
          <w:ilvl w:val="1"/>
          <w:numId w:val="37"/>
        </w:numPr>
        <w:ind w:hanging="934"/>
        <w:jc w:val="both"/>
      </w:pPr>
      <w:r w:rsidRPr="0045173F">
        <w:t>Responses to this question were somewhat polarised, with 4</w:t>
      </w:r>
      <w:r w:rsidR="00C15F47" w:rsidRPr="0045173F">
        <w:t>6</w:t>
      </w:r>
      <w:r w:rsidRPr="0045173F">
        <w:t>.</w:t>
      </w:r>
      <w:r w:rsidR="00C15F47" w:rsidRPr="0045173F">
        <w:t>8</w:t>
      </w:r>
      <w:r w:rsidRPr="0045173F">
        <w:t>% of respondents agreeing and 3</w:t>
      </w:r>
      <w:r w:rsidR="00C15F47" w:rsidRPr="0045173F">
        <w:t>0</w:t>
      </w:r>
      <w:r w:rsidRPr="0045173F">
        <w:t>.</w:t>
      </w:r>
      <w:r w:rsidR="00C15F47" w:rsidRPr="0045173F">
        <w:t>6</w:t>
      </w:r>
      <w:r w:rsidRPr="0045173F">
        <w:t>% of respondents disagreeing</w:t>
      </w:r>
      <w:r w:rsidR="00C15F47" w:rsidRPr="0045173F">
        <w:t>.</w:t>
      </w:r>
    </w:p>
    <w:p w14:paraId="2C6A42A4" w14:textId="77777777" w:rsidR="00C15F47" w:rsidRPr="0045173F" w:rsidRDefault="00C15F47" w:rsidP="00514A66">
      <w:pPr>
        <w:pStyle w:val="ListParagraph"/>
        <w:ind w:left="792" w:hanging="934"/>
        <w:jc w:val="both"/>
      </w:pPr>
    </w:p>
    <w:p w14:paraId="6A2461A7" w14:textId="39C2947C" w:rsidR="001C5808" w:rsidRPr="00CE655C" w:rsidRDefault="00C15F47" w:rsidP="00514A66">
      <w:pPr>
        <w:pStyle w:val="ListParagraph"/>
        <w:numPr>
          <w:ilvl w:val="1"/>
          <w:numId w:val="37"/>
        </w:numPr>
        <w:ind w:hanging="934"/>
        <w:jc w:val="both"/>
      </w:pPr>
      <w:r w:rsidRPr="0045173F">
        <w:t>Respondents who disagreed with the vision were asked to explain why</w:t>
      </w:r>
      <w:r w:rsidR="001C5808" w:rsidRPr="0045173F">
        <w:t>. Many respondents felt the vision was badly worded</w:t>
      </w:r>
      <w:r w:rsidR="00FE71B0">
        <w:t xml:space="preserve"> / written in jargon</w:t>
      </w:r>
      <w:r w:rsidR="006C16B8">
        <w:t xml:space="preserve"> (and contained a typo)</w:t>
      </w:r>
      <w:r w:rsidR="001C5808" w:rsidRPr="0045173F">
        <w:t xml:space="preserve">. Some respondents felt there was a lack of concrete </w:t>
      </w:r>
      <w:r w:rsidR="001C5808" w:rsidRPr="00CE655C">
        <w:t>action behind the vision.</w:t>
      </w:r>
      <w:r w:rsidR="00FE71B0">
        <w:t xml:space="preserve"> Some respondents objected outright to new housing development and/or loss of green space.</w:t>
      </w:r>
    </w:p>
    <w:p w14:paraId="10C333FD" w14:textId="77777777" w:rsidR="001C5808" w:rsidRPr="00CE655C" w:rsidRDefault="001C5808" w:rsidP="00514A66">
      <w:pPr>
        <w:pStyle w:val="ListParagraph"/>
        <w:ind w:hanging="934"/>
      </w:pPr>
    </w:p>
    <w:p w14:paraId="05F467B5" w14:textId="06DE9DDC" w:rsidR="00C15F47" w:rsidRPr="00CE655C" w:rsidRDefault="001C5808" w:rsidP="00514A66">
      <w:pPr>
        <w:pStyle w:val="ListParagraph"/>
        <w:numPr>
          <w:ilvl w:val="1"/>
          <w:numId w:val="37"/>
        </w:numPr>
        <w:ind w:hanging="934"/>
        <w:jc w:val="both"/>
      </w:pPr>
      <w:r w:rsidRPr="00CE655C">
        <w:t>Respondents were invited to give any other thoughts on the vision.</w:t>
      </w:r>
      <w:r w:rsidR="00C15F47" w:rsidRPr="00CE655C">
        <w:t xml:space="preserve"> </w:t>
      </w:r>
      <w:r w:rsidR="0045173F" w:rsidRPr="00CE655C">
        <w:t>A wide range of opinions were offered. Some respondents felt more emphasis on connectivity was required, with points being made around public transport limitations and the difficulty of travelling around the area without a car.</w:t>
      </w:r>
      <w:r w:rsidR="006C16B8" w:rsidRPr="00CE655C">
        <w:t xml:space="preserve"> Several respondents mentioned a lack of affordable housing and a lack of amenities for residents (shops, schools, etc). One responden</w:t>
      </w:r>
      <w:r w:rsidR="00CE655C" w:rsidRPr="00CE655C">
        <w:t>t</w:t>
      </w:r>
      <w:r w:rsidR="006C16B8" w:rsidRPr="00CE655C">
        <w:t xml:space="preserve"> suggested that the finalised document should reflect City Plan 2030.</w:t>
      </w:r>
      <w:r w:rsidR="005B3743">
        <w:t xml:space="preserve"> Some respondents favoured the creation of self-sufficient settlements, while conversely others were opposed to 20 Minute Neighbourhoods and related concepts. </w:t>
      </w:r>
    </w:p>
    <w:p w14:paraId="2EBDFD05" w14:textId="77777777" w:rsidR="00F25C51" w:rsidRDefault="00F25C51" w:rsidP="00514A66">
      <w:pPr>
        <w:pStyle w:val="ListParagraph"/>
        <w:ind w:left="792" w:hanging="934"/>
        <w:jc w:val="both"/>
        <w:rPr>
          <w:rFonts w:cstheme="minorHAnsi"/>
        </w:rPr>
      </w:pPr>
    </w:p>
    <w:tbl>
      <w:tblPr>
        <w:tblStyle w:val="TableGrid"/>
        <w:tblW w:w="0" w:type="auto"/>
        <w:tblInd w:w="-147" w:type="dxa"/>
        <w:tblLook w:val="04A0" w:firstRow="1" w:lastRow="0" w:firstColumn="1" w:lastColumn="0" w:noHBand="0" w:noVBand="1"/>
      </w:tblPr>
      <w:tblGrid>
        <w:gridCol w:w="9163"/>
      </w:tblGrid>
      <w:tr w:rsidR="000C5AF3" w14:paraId="51B154E8" w14:textId="77777777" w:rsidTr="003F1CE0">
        <w:tc>
          <w:tcPr>
            <w:tcW w:w="9163" w:type="dxa"/>
            <w:shd w:val="clear" w:color="auto" w:fill="D9D9D9" w:themeFill="background1" w:themeFillShade="D9"/>
          </w:tcPr>
          <w:p w14:paraId="66C5EA10" w14:textId="6759D2A9" w:rsidR="000C5AF3" w:rsidRPr="00514A66" w:rsidRDefault="000C5AF3" w:rsidP="008B6570">
            <w:pPr>
              <w:pStyle w:val="ListParagraph"/>
              <w:ind w:left="0"/>
              <w:jc w:val="center"/>
              <w:rPr>
                <w:b/>
                <w:bCs/>
              </w:rPr>
            </w:pPr>
            <w:r w:rsidRPr="00514A66">
              <w:rPr>
                <w:b/>
                <w:bCs/>
              </w:rPr>
              <w:t>Response</w:t>
            </w:r>
            <w:r>
              <w:rPr>
                <w:b/>
                <w:bCs/>
              </w:rPr>
              <w:t xml:space="preserve"> to views on the vision for West Edinburgh</w:t>
            </w:r>
          </w:p>
        </w:tc>
      </w:tr>
      <w:tr w:rsidR="000C5AF3" w14:paraId="4AC2B1E5" w14:textId="77777777" w:rsidTr="003F1CE0">
        <w:tc>
          <w:tcPr>
            <w:tcW w:w="9163" w:type="dxa"/>
          </w:tcPr>
          <w:p w14:paraId="1B13341B" w14:textId="7B3F80F2" w:rsidR="00DC4B94" w:rsidRPr="00DC4B94" w:rsidRDefault="00DC4B94" w:rsidP="00DC4B94">
            <w:pPr>
              <w:pStyle w:val="ListParagraph"/>
              <w:ind w:left="0"/>
              <w:jc w:val="both"/>
            </w:pPr>
            <w:r w:rsidRPr="00DC4B94">
              <w:t>The wording of the Vision has been refined. “</w:t>
            </w:r>
            <w:r w:rsidRPr="00DC4B94">
              <w:t>Enhance connectivity and improve public transport routes</w:t>
            </w:r>
            <w:r w:rsidRPr="00DC4B94">
              <w:t>”, “</w:t>
            </w:r>
            <w:r w:rsidRPr="00DC4B94">
              <w:t>Enhance affordable housing provision and local amenity provision for residents</w:t>
            </w:r>
            <w:r w:rsidRPr="00DC4B94">
              <w:t>”, and “L</w:t>
            </w:r>
            <w:r w:rsidRPr="00DC4B94">
              <w:t>ocal amenities</w:t>
            </w:r>
            <w:r w:rsidRPr="00DC4B94">
              <w:t>” have been added to “Guiding Principles”.</w:t>
            </w:r>
            <w:r w:rsidR="003E7992">
              <w:t xml:space="preserve"> </w:t>
            </w:r>
            <w:r w:rsidR="003E7992" w:rsidRPr="003E7992">
              <w:t xml:space="preserve">There has been no change to references to 20 </w:t>
            </w:r>
            <w:r w:rsidR="003E7992">
              <w:t>M</w:t>
            </w:r>
            <w:r w:rsidR="003E7992" w:rsidRPr="003E7992">
              <w:t>in</w:t>
            </w:r>
            <w:r w:rsidR="003E7992">
              <w:t>ute N</w:t>
            </w:r>
            <w:r w:rsidR="003E7992" w:rsidRPr="003E7992">
              <w:t>eighbourhoods (as this relates to approved policy).</w:t>
            </w:r>
          </w:p>
        </w:tc>
      </w:tr>
    </w:tbl>
    <w:p w14:paraId="3E2D3137" w14:textId="77777777" w:rsidR="000C5AF3" w:rsidRPr="00CE655C" w:rsidRDefault="000C5AF3" w:rsidP="00514A66">
      <w:pPr>
        <w:pStyle w:val="ListParagraph"/>
        <w:ind w:left="792" w:hanging="934"/>
        <w:jc w:val="both"/>
        <w:rPr>
          <w:rFonts w:cstheme="minorHAnsi"/>
        </w:rPr>
      </w:pPr>
    </w:p>
    <w:p w14:paraId="165BA32B" w14:textId="439CEFAA" w:rsidR="00C56375" w:rsidRDefault="00E82C51" w:rsidP="00514A66">
      <w:pPr>
        <w:pStyle w:val="ListParagraph"/>
        <w:numPr>
          <w:ilvl w:val="1"/>
          <w:numId w:val="37"/>
        </w:numPr>
        <w:ind w:hanging="934"/>
        <w:jc w:val="both"/>
        <w:rPr>
          <w:rFonts w:cstheme="minorHAnsi"/>
        </w:rPr>
      </w:pPr>
      <w:r w:rsidRPr="00CE655C">
        <w:rPr>
          <w:rFonts w:cstheme="minorHAnsi"/>
        </w:rPr>
        <w:t xml:space="preserve">Respondents were asked if they agreed that any </w:t>
      </w:r>
      <w:r w:rsidRPr="00E82C51">
        <w:rPr>
          <w:rFonts w:cstheme="minorHAnsi"/>
        </w:rPr>
        <w:t>new development should be focused on the “</w:t>
      </w:r>
      <w:r w:rsidR="00571741">
        <w:rPr>
          <w:rFonts w:cstheme="minorHAnsi"/>
        </w:rPr>
        <w:t>C</w:t>
      </w:r>
      <w:r w:rsidRPr="00E82C51">
        <w:rPr>
          <w:rFonts w:cstheme="minorHAnsi"/>
        </w:rPr>
        <w:t xml:space="preserve">entral </w:t>
      </w:r>
      <w:r w:rsidR="00571741">
        <w:rPr>
          <w:rFonts w:cstheme="minorHAnsi"/>
        </w:rPr>
        <w:t>C</w:t>
      </w:r>
      <w:r w:rsidRPr="00E82C51">
        <w:rPr>
          <w:rFonts w:cstheme="minorHAnsi"/>
        </w:rPr>
        <w:t>orridor” and “</w:t>
      </w:r>
      <w:r w:rsidR="00571741">
        <w:rPr>
          <w:rFonts w:cstheme="minorHAnsi"/>
        </w:rPr>
        <w:t>W</w:t>
      </w:r>
      <w:r w:rsidRPr="00E82C51">
        <w:rPr>
          <w:rFonts w:cstheme="minorHAnsi"/>
        </w:rPr>
        <w:t>estern</w:t>
      </w:r>
      <w:r>
        <w:rPr>
          <w:rFonts w:cstheme="minorHAnsi"/>
        </w:rPr>
        <w:t xml:space="preserve"> </w:t>
      </w:r>
      <w:r w:rsidR="00571741">
        <w:rPr>
          <w:rFonts w:cstheme="minorHAnsi"/>
        </w:rPr>
        <w:t>D</w:t>
      </w:r>
      <w:r w:rsidRPr="00E82C51">
        <w:rPr>
          <w:rFonts w:cstheme="minorHAnsi"/>
        </w:rPr>
        <w:t xml:space="preserve">istrict” areas of </w:t>
      </w:r>
      <w:r>
        <w:rPr>
          <w:rFonts w:cstheme="minorHAnsi"/>
        </w:rPr>
        <w:t>W</w:t>
      </w:r>
      <w:r w:rsidRPr="00E82C51">
        <w:rPr>
          <w:rFonts w:cstheme="minorHAnsi"/>
        </w:rPr>
        <w:t>est Edinburgh</w:t>
      </w:r>
      <w:r w:rsidR="005B7187">
        <w:rPr>
          <w:rFonts w:cstheme="minorHAnsi"/>
        </w:rPr>
        <w:t>.</w:t>
      </w:r>
    </w:p>
    <w:p w14:paraId="3CBD2BB2" w14:textId="77777777" w:rsidR="005B7187" w:rsidRPr="005B7187" w:rsidRDefault="005B7187" w:rsidP="005B7187">
      <w:pPr>
        <w:pStyle w:val="ListParagraph"/>
        <w:rPr>
          <w:rFonts w:cstheme="minorHAnsi"/>
        </w:rPr>
      </w:pPr>
    </w:p>
    <w:tbl>
      <w:tblPr>
        <w:tblStyle w:val="TableGrid"/>
        <w:tblW w:w="0" w:type="auto"/>
        <w:tblInd w:w="-147" w:type="dxa"/>
        <w:tblLook w:val="04A0" w:firstRow="1" w:lastRow="0" w:firstColumn="1" w:lastColumn="0" w:noHBand="0" w:noVBand="1"/>
      </w:tblPr>
      <w:tblGrid>
        <w:gridCol w:w="4390"/>
        <w:gridCol w:w="850"/>
        <w:gridCol w:w="714"/>
        <w:gridCol w:w="917"/>
        <w:gridCol w:w="764"/>
        <w:gridCol w:w="764"/>
        <w:gridCol w:w="764"/>
      </w:tblGrid>
      <w:tr w:rsidR="00E82C51" w:rsidRPr="00637F22" w14:paraId="7DBF1FE8" w14:textId="77777777" w:rsidTr="00E82C51">
        <w:trPr>
          <w:cantSplit/>
          <w:trHeight w:val="1134"/>
        </w:trPr>
        <w:tc>
          <w:tcPr>
            <w:tcW w:w="4390" w:type="dxa"/>
            <w:shd w:val="clear" w:color="auto" w:fill="D9D9D9" w:themeFill="background1" w:themeFillShade="D9"/>
            <w:vAlign w:val="center"/>
          </w:tcPr>
          <w:p w14:paraId="0EEF4B7E" w14:textId="3819DA37" w:rsidR="00E82C51" w:rsidRPr="00637F22" w:rsidRDefault="00E82C51" w:rsidP="006F29E9">
            <w:pPr>
              <w:pStyle w:val="ListParagraph"/>
              <w:ind w:left="0"/>
              <w:jc w:val="center"/>
              <w:rPr>
                <w:rFonts w:cstheme="minorHAnsi"/>
                <w:b/>
                <w:bCs/>
                <w:sz w:val="20"/>
                <w:szCs w:val="20"/>
              </w:rPr>
            </w:pPr>
            <w:r w:rsidRPr="00637F22">
              <w:rPr>
                <w:rFonts w:cstheme="minorHAnsi"/>
                <w:b/>
                <w:bCs/>
                <w:color w:val="000000"/>
                <w:sz w:val="20"/>
                <w:szCs w:val="20"/>
              </w:rPr>
              <w:t>Statement</w:t>
            </w:r>
            <w:r w:rsidR="000C5AF3">
              <w:rPr>
                <w:rFonts w:cstheme="minorHAnsi"/>
                <w:b/>
                <w:bCs/>
                <w:color w:val="000000"/>
                <w:sz w:val="20"/>
                <w:szCs w:val="20"/>
              </w:rPr>
              <w:t xml:space="preserve"> about the focus of development in West Edinburgh</w:t>
            </w:r>
          </w:p>
        </w:tc>
        <w:tc>
          <w:tcPr>
            <w:tcW w:w="850" w:type="dxa"/>
            <w:shd w:val="clear" w:color="auto" w:fill="D9D9D9" w:themeFill="background1" w:themeFillShade="D9"/>
            <w:textDirection w:val="btLr"/>
            <w:vAlign w:val="center"/>
          </w:tcPr>
          <w:p w14:paraId="0D2FDD3E" w14:textId="77777777" w:rsidR="00E82C51" w:rsidRPr="00637F22" w:rsidRDefault="00E82C51" w:rsidP="006F29E9">
            <w:pPr>
              <w:pStyle w:val="ListParagraph"/>
              <w:ind w:left="113" w:right="113"/>
              <w:jc w:val="center"/>
              <w:rPr>
                <w:rFonts w:cstheme="minorHAnsi"/>
                <w:b/>
                <w:bCs/>
                <w:sz w:val="20"/>
                <w:szCs w:val="20"/>
              </w:rPr>
            </w:pPr>
            <w:r w:rsidRPr="00637F22">
              <w:rPr>
                <w:rFonts w:cstheme="minorHAnsi"/>
                <w:b/>
                <w:bCs/>
                <w:color w:val="000000"/>
                <w:sz w:val="20"/>
                <w:szCs w:val="20"/>
              </w:rPr>
              <w:t>Strongly agree</w:t>
            </w:r>
          </w:p>
        </w:tc>
        <w:tc>
          <w:tcPr>
            <w:tcW w:w="714" w:type="dxa"/>
            <w:shd w:val="clear" w:color="auto" w:fill="D9D9D9" w:themeFill="background1" w:themeFillShade="D9"/>
            <w:textDirection w:val="btLr"/>
            <w:vAlign w:val="center"/>
          </w:tcPr>
          <w:p w14:paraId="00475D68" w14:textId="77777777" w:rsidR="00E82C51" w:rsidRPr="00637F22" w:rsidRDefault="00E82C51" w:rsidP="006F29E9">
            <w:pPr>
              <w:pStyle w:val="ListParagraph"/>
              <w:ind w:left="113" w:right="113"/>
              <w:jc w:val="center"/>
              <w:rPr>
                <w:rFonts w:cstheme="minorHAnsi"/>
                <w:b/>
                <w:bCs/>
                <w:sz w:val="20"/>
                <w:szCs w:val="20"/>
              </w:rPr>
            </w:pPr>
            <w:r w:rsidRPr="00637F22">
              <w:rPr>
                <w:rFonts w:cstheme="minorHAnsi"/>
                <w:b/>
                <w:bCs/>
                <w:color w:val="000000"/>
                <w:sz w:val="20"/>
                <w:szCs w:val="20"/>
              </w:rPr>
              <w:t>Agree</w:t>
            </w:r>
          </w:p>
        </w:tc>
        <w:tc>
          <w:tcPr>
            <w:tcW w:w="917" w:type="dxa"/>
            <w:shd w:val="clear" w:color="auto" w:fill="D9D9D9" w:themeFill="background1" w:themeFillShade="D9"/>
            <w:textDirection w:val="btLr"/>
            <w:vAlign w:val="center"/>
          </w:tcPr>
          <w:p w14:paraId="4CD71601" w14:textId="77777777" w:rsidR="00E82C51" w:rsidRPr="00637F22" w:rsidRDefault="00E82C51" w:rsidP="006F29E9">
            <w:pPr>
              <w:pStyle w:val="ListParagraph"/>
              <w:ind w:left="113" w:right="113"/>
              <w:jc w:val="center"/>
              <w:rPr>
                <w:rFonts w:cstheme="minorHAnsi"/>
                <w:b/>
                <w:bCs/>
                <w:sz w:val="20"/>
                <w:szCs w:val="20"/>
              </w:rPr>
            </w:pPr>
            <w:r w:rsidRPr="00637F22">
              <w:rPr>
                <w:rFonts w:cstheme="minorHAnsi"/>
                <w:b/>
                <w:bCs/>
                <w:color w:val="000000"/>
                <w:sz w:val="20"/>
                <w:szCs w:val="20"/>
              </w:rPr>
              <w:t>Neither agree nor disagree</w:t>
            </w:r>
          </w:p>
        </w:tc>
        <w:tc>
          <w:tcPr>
            <w:tcW w:w="764" w:type="dxa"/>
            <w:shd w:val="clear" w:color="auto" w:fill="D9D9D9" w:themeFill="background1" w:themeFillShade="D9"/>
            <w:textDirection w:val="btLr"/>
            <w:vAlign w:val="center"/>
          </w:tcPr>
          <w:p w14:paraId="7273F92E" w14:textId="77777777" w:rsidR="00E82C51" w:rsidRPr="00637F22" w:rsidRDefault="00E82C51" w:rsidP="006F29E9">
            <w:pPr>
              <w:pStyle w:val="ListParagraph"/>
              <w:ind w:left="113" w:right="113"/>
              <w:jc w:val="center"/>
              <w:rPr>
                <w:rFonts w:cstheme="minorHAnsi"/>
                <w:b/>
                <w:bCs/>
                <w:sz w:val="20"/>
                <w:szCs w:val="20"/>
              </w:rPr>
            </w:pPr>
            <w:r w:rsidRPr="00637F22">
              <w:rPr>
                <w:rFonts w:cstheme="minorHAnsi"/>
                <w:b/>
                <w:bCs/>
                <w:color w:val="000000"/>
                <w:sz w:val="20"/>
                <w:szCs w:val="20"/>
              </w:rPr>
              <w:t>Disagree</w:t>
            </w:r>
          </w:p>
        </w:tc>
        <w:tc>
          <w:tcPr>
            <w:tcW w:w="764" w:type="dxa"/>
            <w:shd w:val="clear" w:color="auto" w:fill="D9D9D9" w:themeFill="background1" w:themeFillShade="D9"/>
            <w:textDirection w:val="btLr"/>
            <w:vAlign w:val="center"/>
          </w:tcPr>
          <w:p w14:paraId="662B599D" w14:textId="77777777" w:rsidR="00E82C51" w:rsidRPr="00637F22" w:rsidRDefault="00E82C51" w:rsidP="006F29E9">
            <w:pPr>
              <w:pStyle w:val="ListParagraph"/>
              <w:ind w:left="113" w:right="113"/>
              <w:jc w:val="center"/>
              <w:rPr>
                <w:rFonts w:cstheme="minorHAnsi"/>
                <w:b/>
                <w:bCs/>
                <w:sz w:val="20"/>
                <w:szCs w:val="20"/>
              </w:rPr>
            </w:pPr>
            <w:r w:rsidRPr="00637F22">
              <w:rPr>
                <w:rFonts w:cstheme="minorHAnsi"/>
                <w:b/>
                <w:bCs/>
                <w:color w:val="000000"/>
                <w:sz w:val="20"/>
                <w:szCs w:val="20"/>
              </w:rPr>
              <w:t>Strongly disagree</w:t>
            </w:r>
          </w:p>
        </w:tc>
        <w:tc>
          <w:tcPr>
            <w:tcW w:w="764" w:type="dxa"/>
            <w:shd w:val="clear" w:color="auto" w:fill="D9D9D9" w:themeFill="background1" w:themeFillShade="D9"/>
            <w:textDirection w:val="btLr"/>
            <w:vAlign w:val="center"/>
          </w:tcPr>
          <w:p w14:paraId="2819B846" w14:textId="77777777" w:rsidR="00E82C51" w:rsidRPr="00637F22" w:rsidRDefault="00E82C51" w:rsidP="006F29E9">
            <w:pPr>
              <w:pStyle w:val="ListParagraph"/>
              <w:ind w:left="113" w:right="113"/>
              <w:jc w:val="center"/>
              <w:rPr>
                <w:rFonts w:cstheme="minorHAnsi"/>
                <w:b/>
                <w:bCs/>
                <w:sz w:val="20"/>
                <w:szCs w:val="20"/>
              </w:rPr>
            </w:pPr>
            <w:r w:rsidRPr="00637F22">
              <w:rPr>
                <w:rFonts w:cstheme="minorHAnsi"/>
                <w:b/>
                <w:bCs/>
                <w:color w:val="000000"/>
                <w:sz w:val="20"/>
                <w:szCs w:val="20"/>
              </w:rPr>
              <w:t>Not answered</w:t>
            </w:r>
          </w:p>
        </w:tc>
      </w:tr>
      <w:tr w:rsidR="00E82C51" w:rsidRPr="00637F22" w14:paraId="15D7726C" w14:textId="77777777" w:rsidTr="00E82C51">
        <w:tc>
          <w:tcPr>
            <w:tcW w:w="4390" w:type="dxa"/>
          </w:tcPr>
          <w:p w14:paraId="2837F640" w14:textId="128E4B6F" w:rsidR="00E82C51" w:rsidRPr="00E82C51" w:rsidRDefault="00E82C51" w:rsidP="00E82C51">
            <w:pPr>
              <w:jc w:val="both"/>
              <w:rPr>
                <w:rFonts w:cstheme="minorHAnsi"/>
                <w:color w:val="FF0000"/>
                <w:sz w:val="20"/>
                <w:szCs w:val="20"/>
              </w:rPr>
            </w:pPr>
            <w:r w:rsidRPr="00E82C51">
              <w:rPr>
                <w:rFonts w:cstheme="minorHAnsi"/>
                <w:sz w:val="20"/>
                <w:szCs w:val="20"/>
              </w:rPr>
              <w:t>We think that any new development should be focused on the “</w:t>
            </w:r>
            <w:r w:rsidR="005C68DA">
              <w:rPr>
                <w:rFonts w:cstheme="minorHAnsi"/>
                <w:sz w:val="20"/>
                <w:szCs w:val="20"/>
              </w:rPr>
              <w:t>C</w:t>
            </w:r>
            <w:r w:rsidRPr="00E82C51">
              <w:rPr>
                <w:rFonts w:cstheme="minorHAnsi"/>
                <w:sz w:val="20"/>
                <w:szCs w:val="20"/>
              </w:rPr>
              <w:t xml:space="preserve">entral </w:t>
            </w:r>
            <w:r w:rsidR="005C68DA">
              <w:rPr>
                <w:rFonts w:cstheme="minorHAnsi"/>
                <w:sz w:val="20"/>
                <w:szCs w:val="20"/>
              </w:rPr>
              <w:t>C</w:t>
            </w:r>
            <w:r w:rsidRPr="00E82C51">
              <w:rPr>
                <w:rFonts w:cstheme="minorHAnsi"/>
                <w:sz w:val="20"/>
                <w:szCs w:val="20"/>
              </w:rPr>
              <w:t>orridor” and “</w:t>
            </w:r>
            <w:r w:rsidR="005C68DA">
              <w:rPr>
                <w:rFonts w:cstheme="minorHAnsi"/>
                <w:sz w:val="20"/>
                <w:szCs w:val="20"/>
              </w:rPr>
              <w:t>W</w:t>
            </w:r>
            <w:r w:rsidRPr="00E82C51">
              <w:rPr>
                <w:rFonts w:cstheme="minorHAnsi"/>
                <w:sz w:val="20"/>
                <w:szCs w:val="20"/>
              </w:rPr>
              <w:t xml:space="preserve">estern </w:t>
            </w:r>
            <w:r w:rsidR="005C68DA">
              <w:rPr>
                <w:rFonts w:cstheme="minorHAnsi"/>
                <w:sz w:val="20"/>
                <w:szCs w:val="20"/>
              </w:rPr>
              <w:t>D</w:t>
            </w:r>
            <w:r w:rsidRPr="00E82C51">
              <w:rPr>
                <w:rFonts w:cstheme="minorHAnsi"/>
                <w:sz w:val="20"/>
                <w:szCs w:val="20"/>
              </w:rPr>
              <w:t>istrict” areas of west Edinburgh.</w:t>
            </w:r>
          </w:p>
        </w:tc>
        <w:tc>
          <w:tcPr>
            <w:tcW w:w="850" w:type="dxa"/>
            <w:vAlign w:val="center"/>
          </w:tcPr>
          <w:p w14:paraId="05EECF8B" w14:textId="54C738AB" w:rsidR="00E82C51" w:rsidRPr="00E82C51" w:rsidRDefault="00E82C51" w:rsidP="00E82C51">
            <w:pPr>
              <w:pStyle w:val="ListParagraph"/>
              <w:ind w:left="0"/>
              <w:jc w:val="center"/>
              <w:rPr>
                <w:rFonts w:cstheme="minorHAnsi"/>
                <w:color w:val="FF0000"/>
                <w:sz w:val="20"/>
                <w:szCs w:val="20"/>
              </w:rPr>
            </w:pPr>
            <w:r w:rsidRPr="00E82C51">
              <w:rPr>
                <w:rFonts w:ascii="Calibri" w:hAnsi="Calibri" w:cs="Calibri"/>
                <w:color w:val="000000"/>
                <w:sz w:val="20"/>
                <w:szCs w:val="20"/>
              </w:rPr>
              <w:t>12.8%</w:t>
            </w:r>
          </w:p>
        </w:tc>
        <w:tc>
          <w:tcPr>
            <w:tcW w:w="714" w:type="dxa"/>
            <w:vAlign w:val="center"/>
          </w:tcPr>
          <w:p w14:paraId="359CB641" w14:textId="1BC1F215" w:rsidR="00E82C51" w:rsidRPr="00E82C51" w:rsidRDefault="00E82C51" w:rsidP="00E82C51">
            <w:pPr>
              <w:pStyle w:val="ListParagraph"/>
              <w:ind w:left="0"/>
              <w:jc w:val="center"/>
              <w:rPr>
                <w:rFonts w:cstheme="minorHAnsi"/>
                <w:color w:val="FF0000"/>
                <w:sz w:val="20"/>
                <w:szCs w:val="20"/>
              </w:rPr>
            </w:pPr>
            <w:r w:rsidRPr="00E82C51">
              <w:rPr>
                <w:rFonts w:ascii="Calibri" w:hAnsi="Calibri" w:cs="Calibri"/>
                <w:color w:val="000000"/>
                <w:sz w:val="20"/>
                <w:szCs w:val="20"/>
              </w:rPr>
              <w:t>30.5%</w:t>
            </w:r>
          </w:p>
        </w:tc>
        <w:tc>
          <w:tcPr>
            <w:tcW w:w="917" w:type="dxa"/>
            <w:vAlign w:val="center"/>
          </w:tcPr>
          <w:p w14:paraId="58089C46" w14:textId="571B84E3" w:rsidR="00E82C51" w:rsidRPr="00E82C51" w:rsidRDefault="00E82C51" w:rsidP="00E82C51">
            <w:pPr>
              <w:pStyle w:val="ListParagraph"/>
              <w:ind w:left="0"/>
              <w:jc w:val="center"/>
              <w:rPr>
                <w:rFonts w:cstheme="minorHAnsi"/>
                <w:color w:val="FF0000"/>
                <w:sz w:val="20"/>
                <w:szCs w:val="20"/>
              </w:rPr>
            </w:pPr>
            <w:r w:rsidRPr="00E82C51">
              <w:rPr>
                <w:rFonts w:ascii="Calibri" w:hAnsi="Calibri" w:cs="Calibri"/>
                <w:color w:val="000000"/>
                <w:sz w:val="20"/>
                <w:szCs w:val="20"/>
              </w:rPr>
              <w:t>21.7%</w:t>
            </w:r>
          </w:p>
        </w:tc>
        <w:tc>
          <w:tcPr>
            <w:tcW w:w="764" w:type="dxa"/>
            <w:vAlign w:val="center"/>
          </w:tcPr>
          <w:p w14:paraId="5D602044" w14:textId="23C82D7D" w:rsidR="00E82C51" w:rsidRPr="00E82C51" w:rsidRDefault="00E82C51" w:rsidP="00E82C51">
            <w:pPr>
              <w:pStyle w:val="ListParagraph"/>
              <w:ind w:left="0"/>
              <w:jc w:val="center"/>
              <w:rPr>
                <w:rFonts w:cstheme="minorHAnsi"/>
                <w:color w:val="FF0000"/>
                <w:sz w:val="20"/>
                <w:szCs w:val="20"/>
              </w:rPr>
            </w:pPr>
            <w:r w:rsidRPr="00E82C51">
              <w:rPr>
                <w:rFonts w:ascii="Calibri" w:hAnsi="Calibri" w:cs="Calibri"/>
                <w:color w:val="000000"/>
                <w:sz w:val="20"/>
                <w:szCs w:val="20"/>
              </w:rPr>
              <w:t>14.8%</w:t>
            </w:r>
          </w:p>
        </w:tc>
        <w:tc>
          <w:tcPr>
            <w:tcW w:w="764" w:type="dxa"/>
            <w:vAlign w:val="center"/>
          </w:tcPr>
          <w:p w14:paraId="4BC2ADB0" w14:textId="17FB36FB" w:rsidR="00E82C51" w:rsidRPr="00E82C51" w:rsidRDefault="00E82C51" w:rsidP="00E82C51">
            <w:pPr>
              <w:pStyle w:val="ListParagraph"/>
              <w:ind w:left="0"/>
              <w:jc w:val="center"/>
              <w:rPr>
                <w:rFonts w:cstheme="minorHAnsi"/>
                <w:color w:val="FF0000"/>
                <w:sz w:val="20"/>
                <w:szCs w:val="20"/>
              </w:rPr>
            </w:pPr>
            <w:r w:rsidRPr="00E82C51">
              <w:rPr>
                <w:rFonts w:ascii="Calibri" w:hAnsi="Calibri" w:cs="Calibri"/>
                <w:color w:val="000000"/>
                <w:sz w:val="20"/>
                <w:szCs w:val="20"/>
              </w:rPr>
              <w:t>17.2%</w:t>
            </w:r>
          </w:p>
        </w:tc>
        <w:tc>
          <w:tcPr>
            <w:tcW w:w="764" w:type="dxa"/>
            <w:vAlign w:val="center"/>
          </w:tcPr>
          <w:p w14:paraId="068E22BD" w14:textId="093A9D24" w:rsidR="00E82C51" w:rsidRPr="00E82C51" w:rsidRDefault="00E82C51" w:rsidP="00E82C51">
            <w:pPr>
              <w:pStyle w:val="ListParagraph"/>
              <w:ind w:left="0"/>
              <w:jc w:val="center"/>
              <w:rPr>
                <w:rFonts w:cstheme="minorHAnsi"/>
                <w:color w:val="FF0000"/>
                <w:sz w:val="20"/>
                <w:szCs w:val="20"/>
              </w:rPr>
            </w:pPr>
            <w:r w:rsidRPr="00E82C51">
              <w:rPr>
                <w:rFonts w:ascii="Calibri" w:hAnsi="Calibri" w:cs="Calibri"/>
                <w:color w:val="000000"/>
                <w:sz w:val="20"/>
                <w:szCs w:val="20"/>
              </w:rPr>
              <w:t>3.0%</w:t>
            </w:r>
          </w:p>
        </w:tc>
      </w:tr>
    </w:tbl>
    <w:p w14:paraId="0D3D97A5" w14:textId="77777777" w:rsidR="00E82C51" w:rsidRPr="00E82C51" w:rsidRDefault="00E82C51" w:rsidP="00E82C51">
      <w:pPr>
        <w:pStyle w:val="ListParagraph"/>
        <w:ind w:left="792"/>
        <w:jc w:val="both"/>
        <w:rPr>
          <w:rFonts w:cstheme="minorHAnsi"/>
        </w:rPr>
      </w:pPr>
    </w:p>
    <w:p w14:paraId="0CE5F9F0" w14:textId="33F7D9DC" w:rsidR="00C56375" w:rsidRPr="009B6B3C" w:rsidRDefault="00E82C51" w:rsidP="00514A66">
      <w:pPr>
        <w:pStyle w:val="ListParagraph"/>
        <w:numPr>
          <w:ilvl w:val="1"/>
          <w:numId w:val="37"/>
        </w:numPr>
        <w:ind w:hanging="934"/>
        <w:jc w:val="both"/>
      </w:pPr>
      <w:r>
        <w:t xml:space="preserve">Responses to this question were somewhat polarised, with </w:t>
      </w:r>
      <w:r w:rsidRPr="00E82C51">
        <w:t>43.4%</w:t>
      </w:r>
      <w:r>
        <w:t xml:space="preserve"> of respondents agreeing and </w:t>
      </w:r>
      <w:r w:rsidRPr="00E82C51">
        <w:t>32.0%</w:t>
      </w:r>
      <w:r>
        <w:t xml:space="preserve"> of respondents disagreeing.</w:t>
      </w:r>
    </w:p>
    <w:p w14:paraId="000B516C" w14:textId="77777777" w:rsidR="00682329" w:rsidRDefault="00682329" w:rsidP="00514A66">
      <w:pPr>
        <w:pStyle w:val="ListParagraph"/>
        <w:ind w:left="360" w:hanging="934"/>
        <w:jc w:val="both"/>
        <w:rPr>
          <w:b/>
          <w:bCs/>
        </w:rPr>
      </w:pPr>
    </w:p>
    <w:p w14:paraId="63C85933" w14:textId="5077C812" w:rsidR="00EB0B4C" w:rsidRPr="004611F2" w:rsidRDefault="00133B9A" w:rsidP="00514A66">
      <w:pPr>
        <w:pStyle w:val="ListParagraph"/>
        <w:numPr>
          <w:ilvl w:val="1"/>
          <w:numId w:val="37"/>
        </w:numPr>
        <w:ind w:hanging="934"/>
        <w:jc w:val="both"/>
      </w:pPr>
      <w:r w:rsidRPr="00133B9A">
        <w:t xml:space="preserve">Respondents who disagreed with the proposal to focus development on the </w:t>
      </w:r>
      <w:r w:rsidRPr="00133B9A">
        <w:rPr>
          <w:rFonts w:cstheme="minorHAnsi"/>
        </w:rPr>
        <w:t>“</w:t>
      </w:r>
      <w:r w:rsidR="005C68DA">
        <w:rPr>
          <w:rFonts w:cstheme="minorHAnsi"/>
        </w:rPr>
        <w:t>C</w:t>
      </w:r>
      <w:r w:rsidRPr="00133B9A">
        <w:rPr>
          <w:rFonts w:cstheme="minorHAnsi"/>
        </w:rPr>
        <w:t xml:space="preserve">entral </w:t>
      </w:r>
      <w:r w:rsidR="005C68DA">
        <w:rPr>
          <w:rFonts w:cstheme="minorHAnsi"/>
        </w:rPr>
        <w:t>C</w:t>
      </w:r>
      <w:r w:rsidRPr="00133B9A">
        <w:rPr>
          <w:rFonts w:cstheme="minorHAnsi"/>
        </w:rPr>
        <w:t xml:space="preserve">orridor” </w:t>
      </w:r>
      <w:r w:rsidRPr="00EB0B4C">
        <w:rPr>
          <w:rFonts w:cstheme="minorHAnsi"/>
        </w:rPr>
        <w:t>and “</w:t>
      </w:r>
      <w:r w:rsidR="005C68DA">
        <w:rPr>
          <w:rFonts w:cstheme="minorHAnsi"/>
        </w:rPr>
        <w:t>W</w:t>
      </w:r>
      <w:r w:rsidRPr="00EB0B4C">
        <w:rPr>
          <w:rFonts w:cstheme="minorHAnsi"/>
        </w:rPr>
        <w:t xml:space="preserve">estern </w:t>
      </w:r>
      <w:r w:rsidR="005C68DA">
        <w:rPr>
          <w:rFonts w:cstheme="minorHAnsi"/>
        </w:rPr>
        <w:t>D</w:t>
      </w:r>
      <w:r w:rsidRPr="00EB0B4C">
        <w:rPr>
          <w:rFonts w:cstheme="minorHAnsi"/>
        </w:rPr>
        <w:t xml:space="preserve">istrict” </w:t>
      </w:r>
      <w:r w:rsidRPr="00EB0B4C">
        <w:t>were asked to explain why. Respondents provided a wide range of responses.</w:t>
      </w:r>
      <w:r w:rsidR="00511433" w:rsidRPr="00EB0B4C">
        <w:t xml:space="preserve"> Themes included concerns around </w:t>
      </w:r>
      <w:r w:rsidR="00FE3EDD">
        <w:t xml:space="preserve">congestion, particularly </w:t>
      </w:r>
      <w:r w:rsidR="00511433" w:rsidRPr="00EB0B4C">
        <w:t>pressures on the A8</w:t>
      </w:r>
      <w:r w:rsidR="00EB0B4C" w:rsidRPr="00EB0B4C">
        <w:t>.</w:t>
      </w:r>
      <w:r w:rsidR="00511433" w:rsidRPr="00EB0B4C">
        <w:t xml:space="preserve"> Some respondents were not in favour of any new development</w:t>
      </w:r>
      <w:r w:rsidR="00FE3EDD">
        <w:t xml:space="preserve"> whatsoever</w:t>
      </w:r>
      <w:r w:rsidR="00511433" w:rsidRPr="00EB0B4C">
        <w:t>.</w:t>
      </w:r>
      <w:r w:rsidR="00EB0B4C" w:rsidRPr="00EB0B4C">
        <w:t xml:space="preserve"> </w:t>
      </w:r>
      <w:r w:rsidR="00511433" w:rsidRPr="00EB0B4C">
        <w:t xml:space="preserve">Some respondents were in favour of </w:t>
      </w:r>
      <w:r w:rsidR="00FE3EDD">
        <w:t xml:space="preserve">instead </w:t>
      </w:r>
      <w:r w:rsidR="00511433" w:rsidRPr="00EB0B4C">
        <w:t>growing existing communities such as Ratho</w:t>
      </w:r>
      <w:r w:rsidR="00FE3EDD">
        <w:t xml:space="preserve">, </w:t>
      </w:r>
      <w:r w:rsidR="00FE3EDD" w:rsidRPr="00EB0B4C">
        <w:t>Kirkliston</w:t>
      </w:r>
      <w:r w:rsidR="00FE3EDD">
        <w:t>,</w:t>
      </w:r>
      <w:r w:rsidR="00FE3EDD" w:rsidRPr="00EB0B4C">
        <w:t xml:space="preserve"> </w:t>
      </w:r>
      <w:r w:rsidR="00951444">
        <w:t xml:space="preserve">and </w:t>
      </w:r>
      <w:r w:rsidR="00FE3EDD" w:rsidRPr="00EB0B4C">
        <w:t>South Queensferry</w:t>
      </w:r>
      <w:r w:rsidR="00951444">
        <w:t xml:space="preserve">; some respondents felt communities such as </w:t>
      </w:r>
      <w:r w:rsidR="00951444" w:rsidRPr="00EB0B4C">
        <w:t>Kirkliston and South Queensferry</w:t>
      </w:r>
      <w:r w:rsidR="00951444">
        <w:t xml:space="preserve"> had been “forgotten about”</w:t>
      </w:r>
      <w:r w:rsidR="00EB0B4C" w:rsidRPr="00EB0B4C">
        <w:t xml:space="preserve">. </w:t>
      </w:r>
      <w:r w:rsidR="00511433" w:rsidRPr="00EB0B4C">
        <w:t>Specific suggestions included moving the corridor southward so the Union Canal would act as a natural boundary</w:t>
      </w:r>
      <w:r w:rsidR="00EB0B4C" w:rsidRPr="00EB0B4C">
        <w:t xml:space="preserve">. The relationship between </w:t>
      </w:r>
      <w:r w:rsidR="00EB0B4C" w:rsidRPr="00EB0B4C">
        <w:rPr>
          <w:i/>
          <w:iCs/>
        </w:rPr>
        <w:t xml:space="preserve">Towards </w:t>
      </w:r>
      <w:r w:rsidR="00EB0B4C" w:rsidRPr="004611F2">
        <w:rPr>
          <w:i/>
          <w:iCs/>
        </w:rPr>
        <w:t>West Edinburgh 2050</w:t>
      </w:r>
      <w:r w:rsidR="00EB0B4C" w:rsidRPr="004611F2">
        <w:t xml:space="preserve"> and the Indicative Regional Spatial Strategy for </w:t>
      </w:r>
      <w:proofErr w:type="gramStart"/>
      <w:r w:rsidR="00EB0B4C" w:rsidRPr="004611F2">
        <w:t>South East</w:t>
      </w:r>
      <w:proofErr w:type="gramEnd"/>
      <w:r w:rsidR="00EB0B4C" w:rsidRPr="004611F2">
        <w:t xml:space="preserve"> Scotland was queried.</w:t>
      </w:r>
    </w:p>
    <w:p w14:paraId="0D99E3E4" w14:textId="77777777" w:rsidR="00EB0B4C" w:rsidRPr="004611F2" w:rsidRDefault="00EB0B4C" w:rsidP="00514A66">
      <w:pPr>
        <w:pStyle w:val="ListParagraph"/>
        <w:ind w:hanging="934"/>
      </w:pPr>
    </w:p>
    <w:p w14:paraId="3C2D4816" w14:textId="05A0F94A" w:rsidR="0065521F" w:rsidRPr="004611F2" w:rsidRDefault="00133B9A" w:rsidP="00514A66">
      <w:pPr>
        <w:pStyle w:val="ListParagraph"/>
        <w:numPr>
          <w:ilvl w:val="1"/>
          <w:numId w:val="37"/>
        </w:numPr>
        <w:ind w:hanging="934"/>
        <w:jc w:val="both"/>
        <w:rPr>
          <w:color w:val="FF0000"/>
        </w:rPr>
      </w:pPr>
      <w:r w:rsidRPr="004611F2">
        <w:t xml:space="preserve">Respondents were invited to give any other thoughts on the </w:t>
      </w:r>
      <w:r w:rsidR="00601A49" w:rsidRPr="004611F2">
        <w:t xml:space="preserve">proposal to focus development on the </w:t>
      </w:r>
      <w:r w:rsidR="00601A49" w:rsidRPr="004611F2">
        <w:rPr>
          <w:rFonts w:cstheme="minorHAnsi"/>
        </w:rPr>
        <w:t>“</w:t>
      </w:r>
      <w:r w:rsidR="00E002D1">
        <w:rPr>
          <w:rFonts w:cstheme="minorHAnsi"/>
        </w:rPr>
        <w:t>C</w:t>
      </w:r>
      <w:r w:rsidR="00601A49" w:rsidRPr="004611F2">
        <w:rPr>
          <w:rFonts w:cstheme="minorHAnsi"/>
        </w:rPr>
        <w:t xml:space="preserve">entral </w:t>
      </w:r>
      <w:r w:rsidR="00E002D1">
        <w:rPr>
          <w:rFonts w:cstheme="minorHAnsi"/>
        </w:rPr>
        <w:t>C</w:t>
      </w:r>
      <w:r w:rsidR="00601A49" w:rsidRPr="004611F2">
        <w:rPr>
          <w:rFonts w:cstheme="minorHAnsi"/>
        </w:rPr>
        <w:t>orridor” and “</w:t>
      </w:r>
      <w:r w:rsidR="00E002D1">
        <w:rPr>
          <w:rFonts w:cstheme="minorHAnsi"/>
        </w:rPr>
        <w:t>W</w:t>
      </w:r>
      <w:r w:rsidR="00601A49" w:rsidRPr="004611F2">
        <w:rPr>
          <w:rFonts w:cstheme="minorHAnsi"/>
        </w:rPr>
        <w:t xml:space="preserve">estern </w:t>
      </w:r>
      <w:r w:rsidR="00E002D1">
        <w:rPr>
          <w:rFonts w:cstheme="minorHAnsi"/>
        </w:rPr>
        <w:t>D</w:t>
      </w:r>
      <w:r w:rsidR="00601A49" w:rsidRPr="004611F2">
        <w:rPr>
          <w:rFonts w:cstheme="minorHAnsi"/>
        </w:rPr>
        <w:t>istrict”</w:t>
      </w:r>
      <w:r w:rsidRPr="004611F2">
        <w:t xml:space="preserve">. A wide range of </w:t>
      </w:r>
      <w:r w:rsidR="0065521F" w:rsidRPr="004611F2">
        <w:t>thoughts</w:t>
      </w:r>
      <w:r w:rsidRPr="004611F2">
        <w:t xml:space="preserve"> were offered. </w:t>
      </w:r>
      <w:r w:rsidR="0065521F" w:rsidRPr="004611F2">
        <w:rPr>
          <w:rFonts w:cstheme="minorHAnsi"/>
        </w:rPr>
        <w:t>Again, some respondents were not in favour of any development of green space.</w:t>
      </w:r>
      <w:r w:rsidR="00AF4A48" w:rsidRPr="004611F2">
        <w:rPr>
          <w:rFonts w:cstheme="minorHAnsi"/>
        </w:rPr>
        <w:t xml:space="preserve"> Some respondents reiterated concerns around congestion</w:t>
      </w:r>
      <w:r w:rsidR="00951444">
        <w:rPr>
          <w:rFonts w:cstheme="minorHAnsi"/>
        </w:rPr>
        <w:t>, particularly</w:t>
      </w:r>
      <w:r w:rsidR="00AF4A48" w:rsidRPr="004611F2">
        <w:rPr>
          <w:rFonts w:cstheme="minorHAnsi"/>
        </w:rPr>
        <w:t xml:space="preserve"> on the A8. </w:t>
      </w:r>
      <w:r w:rsidR="00951444">
        <w:rPr>
          <w:rFonts w:cstheme="minorHAnsi"/>
        </w:rPr>
        <w:t xml:space="preserve">The need for infrastructure to support development was noted by many respondents. </w:t>
      </w:r>
      <w:r w:rsidR="00AF4A48" w:rsidRPr="004611F2">
        <w:rPr>
          <w:rFonts w:cstheme="minorHAnsi"/>
        </w:rPr>
        <w:t xml:space="preserve">Some respondents encouraged expansion </w:t>
      </w:r>
      <w:r w:rsidR="00AF4A48">
        <w:rPr>
          <w:rFonts w:cstheme="minorHAnsi"/>
        </w:rPr>
        <w:t>of the heavy rail network and tram line.</w:t>
      </w:r>
      <w:r w:rsidR="004611F2">
        <w:rPr>
          <w:rFonts w:cstheme="minorHAnsi"/>
        </w:rPr>
        <w:t xml:space="preserve"> Specific recommendations included</w:t>
      </w:r>
      <w:r w:rsidR="004611F2" w:rsidRPr="004611F2">
        <w:rPr>
          <w:rFonts w:cstheme="minorHAnsi"/>
        </w:rPr>
        <w:t xml:space="preserve"> clarifying the</w:t>
      </w:r>
      <w:r w:rsidR="00550B08" w:rsidRPr="004611F2">
        <w:rPr>
          <w:rFonts w:cstheme="minorHAnsi"/>
        </w:rPr>
        <w:t xml:space="preserve"> distinction between </w:t>
      </w:r>
      <w:r w:rsidR="004611F2" w:rsidRPr="004611F2">
        <w:rPr>
          <w:rFonts w:cstheme="minorHAnsi"/>
        </w:rPr>
        <w:t xml:space="preserve">the </w:t>
      </w:r>
      <w:r w:rsidR="00550B08" w:rsidRPr="004611F2">
        <w:rPr>
          <w:rFonts w:cstheme="minorHAnsi"/>
        </w:rPr>
        <w:t xml:space="preserve">red and orange </w:t>
      </w:r>
      <w:r w:rsidR="004611F2" w:rsidRPr="004611F2">
        <w:rPr>
          <w:rFonts w:cstheme="minorHAnsi"/>
        </w:rPr>
        <w:t xml:space="preserve">shaded </w:t>
      </w:r>
      <w:r w:rsidR="00550B08" w:rsidRPr="004611F2">
        <w:rPr>
          <w:rFonts w:cstheme="minorHAnsi"/>
        </w:rPr>
        <w:t>areas</w:t>
      </w:r>
      <w:r w:rsidR="004611F2" w:rsidRPr="004611F2">
        <w:rPr>
          <w:rFonts w:cstheme="minorHAnsi"/>
        </w:rPr>
        <w:t xml:space="preserve">; flexibility around the timescale for the delivery of the Western District; the </w:t>
      </w:r>
      <w:r w:rsidR="00550B08" w:rsidRPr="004611F2">
        <w:rPr>
          <w:rFonts w:cstheme="minorHAnsi"/>
        </w:rPr>
        <w:t xml:space="preserve">creation of wetland on farms along the </w:t>
      </w:r>
      <w:proofErr w:type="gramStart"/>
      <w:r w:rsidR="00550B08" w:rsidRPr="004611F2">
        <w:rPr>
          <w:rFonts w:cstheme="minorHAnsi"/>
        </w:rPr>
        <w:t>River</w:t>
      </w:r>
      <w:proofErr w:type="gramEnd"/>
      <w:r w:rsidR="00550B08" w:rsidRPr="004611F2">
        <w:rPr>
          <w:rFonts w:cstheme="minorHAnsi"/>
        </w:rPr>
        <w:t xml:space="preserve"> Almond</w:t>
      </w:r>
      <w:r w:rsidR="000F10CB">
        <w:rPr>
          <w:rFonts w:cstheme="minorHAnsi"/>
        </w:rPr>
        <w:t>; and supporting development in other areas such as Craigiehall</w:t>
      </w:r>
      <w:r w:rsidR="00550B08" w:rsidRPr="004611F2">
        <w:rPr>
          <w:rFonts w:cstheme="minorHAnsi"/>
        </w:rPr>
        <w:t>.</w:t>
      </w:r>
    </w:p>
    <w:p w14:paraId="38975493" w14:textId="77777777" w:rsidR="0065521F" w:rsidRDefault="0065521F" w:rsidP="00514A66">
      <w:pPr>
        <w:pStyle w:val="ListParagraph"/>
        <w:ind w:left="792" w:hanging="934"/>
        <w:jc w:val="both"/>
        <w:rPr>
          <w:rFonts w:cstheme="minorHAnsi"/>
        </w:rPr>
      </w:pPr>
    </w:p>
    <w:tbl>
      <w:tblPr>
        <w:tblStyle w:val="TableGrid"/>
        <w:tblW w:w="0" w:type="auto"/>
        <w:tblInd w:w="-147" w:type="dxa"/>
        <w:tblLook w:val="04A0" w:firstRow="1" w:lastRow="0" w:firstColumn="1" w:lastColumn="0" w:noHBand="0" w:noVBand="1"/>
      </w:tblPr>
      <w:tblGrid>
        <w:gridCol w:w="9163"/>
      </w:tblGrid>
      <w:tr w:rsidR="000C5AF3" w14:paraId="054C1186" w14:textId="77777777" w:rsidTr="003F1CE0">
        <w:tc>
          <w:tcPr>
            <w:tcW w:w="9163" w:type="dxa"/>
            <w:shd w:val="clear" w:color="auto" w:fill="D9D9D9" w:themeFill="background1" w:themeFillShade="D9"/>
          </w:tcPr>
          <w:p w14:paraId="2513D7D7" w14:textId="1AF402FC" w:rsidR="000C5AF3" w:rsidRPr="00514A66" w:rsidRDefault="000C5AF3" w:rsidP="008B6570">
            <w:pPr>
              <w:pStyle w:val="ListParagraph"/>
              <w:ind w:left="0"/>
              <w:jc w:val="center"/>
              <w:rPr>
                <w:b/>
                <w:bCs/>
              </w:rPr>
            </w:pPr>
            <w:r w:rsidRPr="00514A66">
              <w:rPr>
                <w:b/>
                <w:bCs/>
              </w:rPr>
              <w:t>Response</w:t>
            </w:r>
            <w:r>
              <w:rPr>
                <w:b/>
                <w:bCs/>
              </w:rPr>
              <w:t xml:space="preserve"> to views on the focus of development in West Edinburgh</w:t>
            </w:r>
          </w:p>
        </w:tc>
      </w:tr>
      <w:tr w:rsidR="000C5AF3" w14:paraId="55B51CE6" w14:textId="77777777" w:rsidTr="003F1CE0">
        <w:tc>
          <w:tcPr>
            <w:tcW w:w="9163" w:type="dxa"/>
          </w:tcPr>
          <w:p w14:paraId="524900EB" w14:textId="0D0F2A62" w:rsidR="003E7992" w:rsidRPr="003E7992" w:rsidRDefault="003E7992" w:rsidP="003E7992">
            <w:pPr>
              <w:jc w:val="both"/>
            </w:pPr>
            <w:r w:rsidRPr="003E7992">
              <w:t>“</w:t>
            </w:r>
            <w:r w:rsidRPr="003E7992">
              <w:t>A wide range of local settlements and communities including Kirkliston, South Queensferry, Balerno, Currie and Ratho</w:t>
            </w:r>
            <w:r w:rsidRPr="003E7992">
              <w:t xml:space="preserve">” has been added to “Already on the ground”. </w:t>
            </w:r>
            <w:r w:rsidRPr="003E7992">
              <w:t xml:space="preserve">The southern boundary to the </w:t>
            </w:r>
            <w:r w:rsidRPr="003E7992">
              <w:t>C</w:t>
            </w:r>
            <w:r w:rsidRPr="003E7992">
              <w:t xml:space="preserve">entral </w:t>
            </w:r>
            <w:r w:rsidRPr="003E7992">
              <w:t>C</w:t>
            </w:r>
            <w:r w:rsidRPr="003E7992">
              <w:t xml:space="preserve">orridor in the diagram on </w:t>
            </w:r>
            <w:r w:rsidRPr="003E7992">
              <w:t>“</w:t>
            </w:r>
            <w:r w:rsidRPr="003E7992">
              <w:t>Character and Opportunity</w:t>
            </w:r>
            <w:r w:rsidRPr="003E7992">
              <w:t>” has</w:t>
            </w:r>
            <w:r w:rsidRPr="003E7992">
              <w:t xml:space="preserve"> been altered to align with the end of the Canal as a boundary.</w:t>
            </w:r>
            <w:r>
              <w:t xml:space="preserve"> </w:t>
            </w:r>
            <w:r>
              <w:t>There have been no further notes added in relation to congestion due to references to this WETA within the document.</w:t>
            </w:r>
            <w:r>
              <w:t xml:space="preserve"> </w:t>
            </w:r>
            <w:r>
              <w:t xml:space="preserve">There have been no further notes added in relation to </w:t>
            </w:r>
            <w:r>
              <w:lastRenderedPageBreak/>
              <w:t xml:space="preserve">the RSS for </w:t>
            </w:r>
            <w:r>
              <w:t>southeast</w:t>
            </w:r>
            <w:r>
              <w:t xml:space="preserve"> Scotland</w:t>
            </w:r>
            <w:r>
              <w:t xml:space="preserve"> as</w:t>
            </w:r>
            <w:r>
              <w:t xml:space="preserve"> this would require </w:t>
            </w:r>
            <w:r>
              <w:t>further work</w:t>
            </w:r>
            <w:r>
              <w:t xml:space="preserve"> to confirm specific alignment and relationships.</w:t>
            </w:r>
          </w:p>
        </w:tc>
      </w:tr>
    </w:tbl>
    <w:p w14:paraId="6FB24527" w14:textId="77777777" w:rsidR="000C5AF3" w:rsidRDefault="000C5AF3" w:rsidP="00514A66">
      <w:pPr>
        <w:pStyle w:val="ListParagraph"/>
        <w:ind w:left="792" w:hanging="934"/>
        <w:jc w:val="both"/>
        <w:rPr>
          <w:rFonts w:cstheme="minorHAnsi"/>
        </w:rPr>
      </w:pPr>
    </w:p>
    <w:p w14:paraId="7118D571" w14:textId="504B36AE" w:rsidR="00617AA1" w:rsidRDefault="00617AA1" w:rsidP="00514A66">
      <w:pPr>
        <w:pStyle w:val="ListParagraph"/>
        <w:numPr>
          <w:ilvl w:val="1"/>
          <w:numId w:val="37"/>
        </w:numPr>
        <w:ind w:hanging="934"/>
        <w:jc w:val="both"/>
        <w:rPr>
          <w:rFonts w:cstheme="minorHAnsi"/>
        </w:rPr>
      </w:pPr>
      <w:r>
        <w:rPr>
          <w:rFonts w:cstheme="minorHAnsi"/>
        </w:rPr>
        <w:t xml:space="preserve">Respondents were asked if they agreed </w:t>
      </w:r>
      <w:r w:rsidRPr="00617AA1">
        <w:rPr>
          <w:rFonts w:cstheme="minorHAnsi"/>
        </w:rPr>
        <w:t xml:space="preserve">that the themes and actions </w:t>
      </w:r>
      <w:r>
        <w:rPr>
          <w:rFonts w:cstheme="minorHAnsi"/>
        </w:rPr>
        <w:t xml:space="preserve">set out in </w:t>
      </w:r>
      <w:r w:rsidRPr="00617AA1">
        <w:rPr>
          <w:rFonts w:cstheme="minorHAnsi"/>
          <w:i/>
          <w:iCs/>
        </w:rPr>
        <w:t xml:space="preserve">Towards West Edinburgh 2050 </w:t>
      </w:r>
      <w:r>
        <w:rPr>
          <w:rFonts w:cstheme="minorHAnsi"/>
        </w:rPr>
        <w:t>would</w:t>
      </w:r>
      <w:r w:rsidRPr="00617AA1">
        <w:rPr>
          <w:rFonts w:cstheme="minorHAnsi"/>
        </w:rPr>
        <w:t xml:space="preserve"> ensure that </w:t>
      </w:r>
      <w:r>
        <w:rPr>
          <w:rFonts w:cstheme="minorHAnsi"/>
        </w:rPr>
        <w:t>West</w:t>
      </w:r>
      <w:r w:rsidRPr="00617AA1">
        <w:rPr>
          <w:rFonts w:cstheme="minorHAnsi"/>
        </w:rPr>
        <w:t xml:space="preserve"> Edinburgh will develop </w:t>
      </w:r>
      <w:r>
        <w:rPr>
          <w:rFonts w:cstheme="minorHAnsi"/>
        </w:rPr>
        <w:t>“</w:t>
      </w:r>
      <w:r w:rsidRPr="00617AA1">
        <w:rPr>
          <w:rFonts w:cstheme="minorHAnsi"/>
        </w:rPr>
        <w:t>in the right way</w:t>
      </w:r>
      <w:r>
        <w:rPr>
          <w:rFonts w:cstheme="minorHAnsi"/>
        </w:rPr>
        <w:t>”.</w:t>
      </w:r>
    </w:p>
    <w:p w14:paraId="2A32BC4C" w14:textId="77777777" w:rsidR="00617AA1" w:rsidRPr="00617AA1" w:rsidRDefault="00617AA1" w:rsidP="00514A66">
      <w:pPr>
        <w:pStyle w:val="ListParagraph"/>
        <w:ind w:hanging="934"/>
        <w:rPr>
          <w:rFonts w:cstheme="minorHAnsi"/>
        </w:rPr>
      </w:pPr>
    </w:p>
    <w:tbl>
      <w:tblPr>
        <w:tblStyle w:val="TableGrid"/>
        <w:tblW w:w="0" w:type="auto"/>
        <w:tblInd w:w="-147" w:type="dxa"/>
        <w:tblLook w:val="04A0" w:firstRow="1" w:lastRow="0" w:firstColumn="1" w:lastColumn="0" w:noHBand="0" w:noVBand="1"/>
      </w:tblPr>
      <w:tblGrid>
        <w:gridCol w:w="4390"/>
        <w:gridCol w:w="850"/>
        <w:gridCol w:w="714"/>
        <w:gridCol w:w="917"/>
        <w:gridCol w:w="764"/>
        <w:gridCol w:w="764"/>
        <w:gridCol w:w="764"/>
      </w:tblGrid>
      <w:tr w:rsidR="00617AA1" w:rsidRPr="00637F22" w14:paraId="36AED3DB" w14:textId="77777777" w:rsidTr="00E001C6">
        <w:trPr>
          <w:cantSplit/>
          <w:trHeight w:val="1134"/>
        </w:trPr>
        <w:tc>
          <w:tcPr>
            <w:tcW w:w="4390" w:type="dxa"/>
            <w:shd w:val="clear" w:color="auto" w:fill="D9D9D9" w:themeFill="background1" w:themeFillShade="D9"/>
            <w:vAlign w:val="center"/>
          </w:tcPr>
          <w:p w14:paraId="60C14097" w14:textId="1E17DD56" w:rsidR="00617AA1" w:rsidRPr="00637F22" w:rsidRDefault="00617AA1" w:rsidP="00E001C6">
            <w:pPr>
              <w:pStyle w:val="ListParagraph"/>
              <w:ind w:left="0"/>
              <w:jc w:val="center"/>
              <w:rPr>
                <w:rFonts w:cstheme="minorHAnsi"/>
                <w:b/>
                <w:bCs/>
                <w:sz w:val="20"/>
                <w:szCs w:val="20"/>
              </w:rPr>
            </w:pPr>
            <w:r w:rsidRPr="00637F22">
              <w:rPr>
                <w:rFonts w:cstheme="minorHAnsi"/>
                <w:b/>
                <w:bCs/>
                <w:color w:val="000000"/>
                <w:sz w:val="20"/>
                <w:szCs w:val="20"/>
              </w:rPr>
              <w:t>Statement</w:t>
            </w:r>
            <w:r w:rsidR="000C5AF3">
              <w:rPr>
                <w:rFonts w:cstheme="minorHAnsi"/>
                <w:b/>
                <w:bCs/>
                <w:color w:val="000000"/>
                <w:sz w:val="20"/>
                <w:szCs w:val="20"/>
              </w:rPr>
              <w:t xml:space="preserve"> on themes and actions</w:t>
            </w:r>
          </w:p>
        </w:tc>
        <w:tc>
          <w:tcPr>
            <w:tcW w:w="850" w:type="dxa"/>
            <w:shd w:val="clear" w:color="auto" w:fill="D9D9D9" w:themeFill="background1" w:themeFillShade="D9"/>
            <w:textDirection w:val="btLr"/>
            <w:vAlign w:val="center"/>
          </w:tcPr>
          <w:p w14:paraId="70D7DA76" w14:textId="77777777" w:rsidR="00617AA1" w:rsidRPr="00637F22" w:rsidRDefault="00617AA1" w:rsidP="00E001C6">
            <w:pPr>
              <w:pStyle w:val="ListParagraph"/>
              <w:ind w:left="113" w:right="113"/>
              <w:jc w:val="center"/>
              <w:rPr>
                <w:rFonts w:cstheme="minorHAnsi"/>
                <w:b/>
                <w:bCs/>
                <w:sz w:val="20"/>
                <w:szCs w:val="20"/>
              </w:rPr>
            </w:pPr>
            <w:r w:rsidRPr="00637F22">
              <w:rPr>
                <w:rFonts w:cstheme="minorHAnsi"/>
                <w:b/>
                <w:bCs/>
                <w:color w:val="000000"/>
                <w:sz w:val="20"/>
                <w:szCs w:val="20"/>
              </w:rPr>
              <w:t>Strongly agree</w:t>
            </w:r>
          </w:p>
        </w:tc>
        <w:tc>
          <w:tcPr>
            <w:tcW w:w="714" w:type="dxa"/>
            <w:shd w:val="clear" w:color="auto" w:fill="D9D9D9" w:themeFill="background1" w:themeFillShade="D9"/>
            <w:textDirection w:val="btLr"/>
            <w:vAlign w:val="center"/>
          </w:tcPr>
          <w:p w14:paraId="23E4D981" w14:textId="77777777" w:rsidR="00617AA1" w:rsidRPr="00637F22" w:rsidRDefault="00617AA1" w:rsidP="00E001C6">
            <w:pPr>
              <w:pStyle w:val="ListParagraph"/>
              <w:ind w:left="113" w:right="113"/>
              <w:jc w:val="center"/>
              <w:rPr>
                <w:rFonts w:cstheme="minorHAnsi"/>
                <w:b/>
                <w:bCs/>
                <w:sz w:val="20"/>
                <w:szCs w:val="20"/>
              </w:rPr>
            </w:pPr>
            <w:r w:rsidRPr="00637F22">
              <w:rPr>
                <w:rFonts w:cstheme="minorHAnsi"/>
                <w:b/>
                <w:bCs/>
                <w:color w:val="000000"/>
                <w:sz w:val="20"/>
                <w:szCs w:val="20"/>
              </w:rPr>
              <w:t>Agree</w:t>
            </w:r>
          </w:p>
        </w:tc>
        <w:tc>
          <w:tcPr>
            <w:tcW w:w="917" w:type="dxa"/>
            <w:shd w:val="clear" w:color="auto" w:fill="D9D9D9" w:themeFill="background1" w:themeFillShade="D9"/>
            <w:textDirection w:val="btLr"/>
            <w:vAlign w:val="center"/>
          </w:tcPr>
          <w:p w14:paraId="1D78EE6D" w14:textId="77777777" w:rsidR="00617AA1" w:rsidRPr="00637F22" w:rsidRDefault="00617AA1" w:rsidP="00E001C6">
            <w:pPr>
              <w:pStyle w:val="ListParagraph"/>
              <w:ind w:left="113" w:right="113"/>
              <w:jc w:val="center"/>
              <w:rPr>
                <w:rFonts w:cstheme="minorHAnsi"/>
                <w:b/>
                <w:bCs/>
                <w:sz w:val="20"/>
                <w:szCs w:val="20"/>
              </w:rPr>
            </w:pPr>
            <w:r w:rsidRPr="00637F22">
              <w:rPr>
                <w:rFonts w:cstheme="minorHAnsi"/>
                <w:b/>
                <w:bCs/>
                <w:color w:val="000000"/>
                <w:sz w:val="20"/>
                <w:szCs w:val="20"/>
              </w:rPr>
              <w:t>Neither agree nor disagree</w:t>
            </w:r>
          </w:p>
        </w:tc>
        <w:tc>
          <w:tcPr>
            <w:tcW w:w="764" w:type="dxa"/>
            <w:shd w:val="clear" w:color="auto" w:fill="D9D9D9" w:themeFill="background1" w:themeFillShade="D9"/>
            <w:textDirection w:val="btLr"/>
            <w:vAlign w:val="center"/>
          </w:tcPr>
          <w:p w14:paraId="435F86CB" w14:textId="77777777" w:rsidR="00617AA1" w:rsidRPr="00637F22" w:rsidRDefault="00617AA1" w:rsidP="00E001C6">
            <w:pPr>
              <w:pStyle w:val="ListParagraph"/>
              <w:ind w:left="113" w:right="113"/>
              <w:jc w:val="center"/>
              <w:rPr>
                <w:rFonts w:cstheme="minorHAnsi"/>
                <w:b/>
                <w:bCs/>
                <w:sz w:val="20"/>
                <w:szCs w:val="20"/>
              </w:rPr>
            </w:pPr>
            <w:r w:rsidRPr="00637F22">
              <w:rPr>
                <w:rFonts w:cstheme="minorHAnsi"/>
                <w:b/>
                <w:bCs/>
                <w:color w:val="000000"/>
                <w:sz w:val="20"/>
                <w:szCs w:val="20"/>
              </w:rPr>
              <w:t>Disagree</w:t>
            </w:r>
          </w:p>
        </w:tc>
        <w:tc>
          <w:tcPr>
            <w:tcW w:w="764" w:type="dxa"/>
            <w:shd w:val="clear" w:color="auto" w:fill="D9D9D9" w:themeFill="background1" w:themeFillShade="D9"/>
            <w:textDirection w:val="btLr"/>
            <w:vAlign w:val="center"/>
          </w:tcPr>
          <w:p w14:paraId="42C2E041" w14:textId="77777777" w:rsidR="00617AA1" w:rsidRPr="00637F22" w:rsidRDefault="00617AA1" w:rsidP="00E001C6">
            <w:pPr>
              <w:pStyle w:val="ListParagraph"/>
              <w:ind w:left="113" w:right="113"/>
              <w:jc w:val="center"/>
              <w:rPr>
                <w:rFonts w:cstheme="minorHAnsi"/>
                <w:b/>
                <w:bCs/>
                <w:sz w:val="20"/>
                <w:szCs w:val="20"/>
              </w:rPr>
            </w:pPr>
            <w:r w:rsidRPr="00637F22">
              <w:rPr>
                <w:rFonts w:cstheme="minorHAnsi"/>
                <w:b/>
                <w:bCs/>
                <w:color w:val="000000"/>
                <w:sz w:val="20"/>
                <w:szCs w:val="20"/>
              </w:rPr>
              <w:t>Strongly disagree</w:t>
            </w:r>
          </w:p>
        </w:tc>
        <w:tc>
          <w:tcPr>
            <w:tcW w:w="764" w:type="dxa"/>
            <w:shd w:val="clear" w:color="auto" w:fill="D9D9D9" w:themeFill="background1" w:themeFillShade="D9"/>
            <w:textDirection w:val="btLr"/>
            <w:vAlign w:val="center"/>
          </w:tcPr>
          <w:p w14:paraId="4921F488" w14:textId="77777777" w:rsidR="00617AA1" w:rsidRPr="00637F22" w:rsidRDefault="00617AA1" w:rsidP="00E001C6">
            <w:pPr>
              <w:pStyle w:val="ListParagraph"/>
              <w:ind w:left="113" w:right="113"/>
              <w:jc w:val="center"/>
              <w:rPr>
                <w:rFonts w:cstheme="minorHAnsi"/>
                <w:b/>
                <w:bCs/>
                <w:sz w:val="20"/>
                <w:szCs w:val="20"/>
              </w:rPr>
            </w:pPr>
            <w:r w:rsidRPr="00637F22">
              <w:rPr>
                <w:rFonts w:cstheme="minorHAnsi"/>
                <w:b/>
                <w:bCs/>
                <w:color w:val="000000"/>
                <w:sz w:val="20"/>
                <w:szCs w:val="20"/>
              </w:rPr>
              <w:t>Not answered</w:t>
            </w:r>
          </w:p>
        </w:tc>
      </w:tr>
      <w:tr w:rsidR="00617AA1" w:rsidRPr="00637F22" w14:paraId="6D8724AE" w14:textId="77777777" w:rsidTr="00E001C6">
        <w:tc>
          <w:tcPr>
            <w:tcW w:w="4390" w:type="dxa"/>
          </w:tcPr>
          <w:p w14:paraId="6C025937" w14:textId="59CDF2C6" w:rsidR="00617AA1" w:rsidRPr="00E82C51" w:rsidRDefault="00617AA1" w:rsidP="00E001C6">
            <w:pPr>
              <w:jc w:val="both"/>
              <w:rPr>
                <w:rFonts w:cstheme="minorHAnsi"/>
                <w:color w:val="FF0000"/>
                <w:sz w:val="20"/>
                <w:szCs w:val="20"/>
              </w:rPr>
            </w:pPr>
            <w:r w:rsidRPr="00617AA1">
              <w:rPr>
                <w:rFonts w:cstheme="minorHAnsi"/>
                <w:sz w:val="20"/>
                <w:szCs w:val="20"/>
              </w:rPr>
              <w:t>To what extent do you agree or disagree that these themes and the related actions will ensure that the west of Edinburgh will develop in the right way?</w:t>
            </w:r>
          </w:p>
        </w:tc>
        <w:tc>
          <w:tcPr>
            <w:tcW w:w="850" w:type="dxa"/>
            <w:vAlign w:val="center"/>
          </w:tcPr>
          <w:p w14:paraId="312578F6" w14:textId="695260B9" w:rsidR="00617AA1" w:rsidRPr="00E82C51" w:rsidRDefault="00617AA1" w:rsidP="00E001C6">
            <w:pPr>
              <w:pStyle w:val="ListParagraph"/>
              <w:ind w:left="0"/>
              <w:jc w:val="center"/>
              <w:rPr>
                <w:rFonts w:cstheme="minorHAnsi"/>
                <w:color w:val="FF0000"/>
                <w:sz w:val="20"/>
                <w:szCs w:val="20"/>
              </w:rPr>
            </w:pPr>
            <w:r w:rsidRPr="00E82C51">
              <w:rPr>
                <w:rFonts w:ascii="Calibri" w:hAnsi="Calibri" w:cs="Calibri"/>
                <w:color w:val="000000"/>
                <w:sz w:val="20"/>
                <w:szCs w:val="20"/>
              </w:rPr>
              <w:t>1</w:t>
            </w:r>
            <w:r>
              <w:rPr>
                <w:rFonts w:ascii="Calibri" w:hAnsi="Calibri" w:cs="Calibri"/>
                <w:color w:val="000000"/>
                <w:sz w:val="20"/>
                <w:szCs w:val="20"/>
              </w:rPr>
              <w:t>4</w:t>
            </w:r>
            <w:r w:rsidRPr="00E82C51">
              <w:rPr>
                <w:rFonts w:ascii="Calibri" w:hAnsi="Calibri" w:cs="Calibri"/>
                <w:color w:val="000000"/>
                <w:sz w:val="20"/>
                <w:szCs w:val="20"/>
              </w:rPr>
              <w:t>.8%</w:t>
            </w:r>
          </w:p>
        </w:tc>
        <w:tc>
          <w:tcPr>
            <w:tcW w:w="714" w:type="dxa"/>
            <w:vAlign w:val="center"/>
          </w:tcPr>
          <w:p w14:paraId="059E3117" w14:textId="4AD2FF5A" w:rsidR="00617AA1" w:rsidRPr="00E82C51" w:rsidRDefault="00617AA1" w:rsidP="00E001C6">
            <w:pPr>
              <w:pStyle w:val="ListParagraph"/>
              <w:ind w:left="0"/>
              <w:jc w:val="center"/>
              <w:rPr>
                <w:rFonts w:cstheme="minorHAnsi"/>
                <w:color w:val="FF0000"/>
                <w:sz w:val="20"/>
                <w:szCs w:val="20"/>
              </w:rPr>
            </w:pPr>
            <w:r w:rsidRPr="00E82C51">
              <w:rPr>
                <w:rFonts w:ascii="Calibri" w:hAnsi="Calibri" w:cs="Calibri"/>
                <w:color w:val="000000"/>
                <w:sz w:val="20"/>
                <w:szCs w:val="20"/>
              </w:rPr>
              <w:t>3</w:t>
            </w:r>
            <w:r>
              <w:rPr>
                <w:rFonts w:ascii="Calibri" w:hAnsi="Calibri" w:cs="Calibri"/>
                <w:color w:val="000000"/>
                <w:sz w:val="20"/>
                <w:szCs w:val="20"/>
              </w:rPr>
              <w:t>4</w:t>
            </w:r>
            <w:r w:rsidRPr="00E82C51">
              <w:rPr>
                <w:rFonts w:ascii="Calibri" w:hAnsi="Calibri" w:cs="Calibri"/>
                <w:color w:val="000000"/>
                <w:sz w:val="20"/>
                <w:szCs w:val="20"/>
              </w:rPr>
              <w:t>.</w:t>
            </w:r>
            <w:r>
              <w:rPr>
                <w:rFonts w:ascii="Calibri" w:hAnsi="Calibri" w:cs="Calibri"/>
                <w:color w:val="000000"/>
                <w:sz w:val="20"/>
                <w:szCs w:val="20"/>
              </w:rPr>
              <w:t>0</w:t>
            </w:r>
            <w:r w:rsidRPr="00E82C51">
              <w:rPr>
                <w:rFonts w:ascii="Calibri" w:hAnsi="Calibri" w:cs="Calibri"/>
                <w:color w:val="000000"/>
                <w:sz w:val="20"/>
                <w:szCs w:val="20"/>
              </w:rPr>
              <w:t>%</w:t>
            </w:r>
          </w:p>
        </w:tc>
        <w:tc>
          <w:tcPr>
            <w:tcW w:w="917" w:type="dxa"/>
            <w:vAlign w:val="center"/>
          </w:tcPr>
          <w:p w14:paraId="20CDE9EB" w14:textId="77777777" w:rsidR="00617AA1" w:rsidRPr="00E82C51" w:rsidRDefault="00617AA1" w:rsidP="00E001C6">
            <w:pPr>
              <w:pStyle w:val="ListParagraph"/>
              <w:ind w:left="0"/>
              <w:jc w:val="center"/>
              <w:rPr>
                <w:rFonts w:cstheme="minorHAnsi"/>
                <w:color w:val="FF0000"/>
                <w:sz w:val="20"/>
                <w:szCs w:val="20"/>
              </w:rPr>
            </w:pPr>
            <w:r w:rsidRPr="00E82C51">
              <w:rPr>
                <w:rFonts w:ascii="Calibri" w:hAnsi="Calibri" w:cs="Calibri"/>
                <w:color w:val="000000"/>
                <w:sz w:val="20"/>
                <w:szCs w:val="20"/>
              </w:rPr>
              <w:t>21.7%</w:t>
            </w:r>
          </w:p>
        </w:tc>
        <w:tc>
          <w:tcPr>
            <w:tcW w:w="764" w:type="dxa"/>
            <w:vAlign w:val="center"/>
          </w:tcPr>
          <w:p w14:paraId="16939672" w14:textId="7A0A80AA" w:rsidR="00617AA1" w:rsidRPr="00E82C51" w:rsidRDefault="00617AA1" w:rsidP="00E001C6">
            <w:pPr>
              <w:pStyle w:val="ListParagraph"/>
              <w:ind w:left="0"/>
              <w:jc w:val="center"/>
              <w:rPr>
                <w:rFonts w:cstheme="minorHAnsi"/>
                <w:color w:val="FF0000"/>
                <w:sz w:val="20"/>
                <w:szCs w:val="20"/>
              </w:rPr>
            </w:pPr>
            <w:r w:rsidRPr="00E82C51">
              <w:rPr>
                <w:rFonts w:ascii="Calibri" w:hAnsi="Calibri" w:cs="Calibri"/>
                <w:color w:val="000000"/>
                <w:sz w:val="20"/>
                <w:szCs w:val="20"/>
              </w:rPr>
              <w:t>1</w:t>
            </w:r>
            <w:r>
              <w:rPr>
                <w:rFonts w:ascii="Calibri" w:hAnsi="Calibri" w:cs="Calibri"/>
                <w:color w:val="000000"/>
                <w:sz w:val="20"/>
                <w:szCs w:val="20"/>
              </w:rPr>
              <w:t>2</w:t>
            </w:r>
            <w:r w:rsidRPr="00E82C51">
              <w:rPr>
                <w:rFonts w:ascii="Calibri" w:hAnsi="Calibri" w:cs="Calibri"/>
                <w:color w:val="000000"/>
                <w:sz w:val="20"/>
                <w:szCs w:val="20"/>
              </w:rPr>
              <w:t>.8%</w:t>
            </w:r>
          </w:p>
        </w:tc>
        <w:tc>
          <w:tcPr>
            <w:tcW w:w="764" w:type="dxa"/>
            <w:vAlign w:val="center"/>
          </w:tcPr>
          <w:p w14:paraId="36FF3E20" w14:textId="1A4F447A" w:rsidR="00617AA1" w:rsidRPr="00E82C51" w:rsidRDefault="00617AA1" w:rsidP="00E001C6">
            <w:pPr>
              <w:pStyle w:val="ListParagraph"/>
              <w:ind w:left="0"/>
              <w:jc w:val="center"/>
              <w:rPr>
                <w:rFonts w:cstheme="minorHAnsi"/>
                <w:color w:val="FF0000"/>
                <w:sz w:val="20"/>
                <w:szCs w:val="20"/>
              </w:rPr>
            </w:pPr>
            <w:r w:rsidRPr="00E82C51">
              <w:rPr>
                <w:rFonts w:ascii="Calibri" w:hAnsi="Calibri" w:cs="Calibri"/>
                <w:color w:val="000000"/>
                <w:sz w:val="20"/>
                <w:szCs w:val="20"/>
              </w:rPr>
              <w:t>1</w:t>
            </w:r>
            <w:r>
              <w:rPr>
                <w:rFonts w:ascii="Calibri" w:hAnsi="Calibri" w:cs="Calibri"/>
                <w:color w:val="000000"/>
                <w:sz w:val="20"/>
                <w:szCs w:val="20"/>
              </w:rPr>
              <w:t>3</w:t>
            </w:r>
            <w:r w:rsidRPr="00E82C51">
              <w:rPr>
                <w:rFonts w:ascii="Calibri" w:hAnsi="Calibri" w:cs="Calibri"/>
                <w:color w:val="000000"/>
                <w:sz w:val="20"/>
                <w:szCs w:val="20"/>
              </w:rPr>
              <w:t>.</w:t>
            </w:r>
            <w:r>
              <w:rPr>
                <w:rFonts w:ascii="Calibri" w:hAnsi="Calibri" w:cs="Calibri"/>
                <w:color w:val="000000"/>
                <w:sz w:val="20"/>
                <w:szCs w:val="20"/>
              </w:rPr>
              <w:t>4</w:t>
            </w:r>
            <w:r w:rsidRPr="00E82C51">
              <w:rPr>
                <w:rFonts w:ascii="Calibri" w:hAnsi="Calibri" w:cs="Calibri"/>
                <w:color w:val="000000"/>
                <w:sz w:val="20"/>
                <w:szCs w:val="20"/>
              </w:rPr>
              <w:t>%</w:t>
            </w:r>
          </w:p>
        </w:tc>
        <w:tc>
          <w:tcPr>
            <w:tcW w:w="764" w:type="dxa"/>
            <w:vAlign w:val="center"/>
          </w:tcPr>
          <w:p w14:paraId="78FF19A1" w14:textId="77777777" w:rsidR="00617AA1" w:rsidRPr="00E82C51" w:rsidRDefault="00617AA1" w:rsidP="00E001C6">
            <w:pPr>
              <w:pStyle w:val="ListParagraph"/>
              <w:ind w:left="0"/>
              <w:jc w:val="center"/>
              <w:rPr>
                <w:rFonts w:cstheme="minorHAnsi"/>
                <w:color w:val="FF0000"/>
                <w:sz w:val="20"/>
                <w:szCs w:val="20"/>
              </w:rPr>
            </w:pPr>
            <w:r w:rsidRPr="00E82C51">
              <w:rPr>
                <w:rFonts w:ascii="Calibri" w:hAnsi="Calibri" w:cs="Calibri"/>
                <w:color w:val="000000"/>
                <w:sz w:val="20"/>
                <w:szCs w:val="20"/>
              </w:rPr>
              <w:t>3.0%</w:t>
            </w:r>
          </w:p>
        </w:tc>
      </w:tr>
    </w:tbl>
    <w:p w14:paraId="74971654" w14:textId="77777777" w:rsidR="00617AA1" w:rsidRPr="00E82C51" w:rsidRDefault="00617AA1" w:rsidP="00617AA1">
      <w:pPr>
        <w:pStyle w:val="ListParagraph"/>
        <w:ind w:left="792"/>
        <w:jc w:val="both"/>
        <w:rPr>
          <w:rFonts w:cstheme="minorHAnsi"/>
        </w:rPr>
      </w:pPr>
    </w:p>
    <w:p w14:paraId="63407CBD" w14:textId="64485286" w:rsidR="00617AA1" w:rsidRPr="00C90AD3" w:rsidRDefault="00617AA1" w:rsidP="00514A66">
      <w:pPr>
        <w:pStyle w:val="ListParagraph"/>
        <w:numPr>
          <w:ilvl w:val="1"/>
          <w:numId w:val="37"/>
        </w:numPr>
        <w:ind w:hanging="934"/>
        <w:jc w:val="both"/>
      </w:pPr>
      <w:r w:rsidRPr="00617AA1">
        <w:t>48.</w:t>
      </w:r>
      <w:r>
        <w:t>8% of respondents agreed that the themes and actions would ensure that West Edinburgh would develop “</w:t>
      </w:r>
      <w:r w:rsidRPr="00C90AD3">
        <w:t>in the right way”, while 26.6% disagreed.</w:t>
      </w:r>
    </w:p>
    <w:p w14:paraId="6AD71D21" w14:textId="77777777" w:rsidR="00617AA1" w:rsidRPr="00C90AD3" w:rsidRDefault="00617AA1" w:rsidP="00514A66">
      <w:pPr>
        <w:pStyle w:val="ListParagraph"/>
        <w:ind w:left="360" w:hanging="934"/>
        <w:jc w:val="both"/>
        <w:rPr>
          <w:b/>
          <w:bCs/>
        </w:rPr>
      </w:pPr>
    </w:p>
    <w:p w14:paraId="01CE9235" w14:textId="3CFB2674" w:rsidR="007F564D" w:rsidRPr="00E71FF5" w:rsidRDefault="007F564D" w:rsidP="00514A66">
      <w:pPr>
        <w:pStyle w:val="ListParagraph"/>
        <w:numPr>
          <w:ilvl w:val="1"/>
          <w:numId w:val="37"/>
        </w:numPr>
        <w:ind w:hanging="934"/>
        <w:jc w:val="both"/>
      </w:pPr>
      <w:r w:rsidRPr="00C90AD3">
        <w:t>Respondents who disagreed that the themes and related actions would ensure that West Edinburgh will develop in the right way</w:t>
      </w:r>
      <w:r w:rsidRPr="00C90AD3">
        <w:rPr>
          <w:rFonts w:cstheme="minorHAnsi"/>
        </w:rPr>
        <w:t xml:space="preserve"> </w:t>
      </w:r>
      <w:r w:rsidRPr="00C90AD3">
        <w:t xml:space="preserve">were asked to explain why. Respondents provided a wide range of responses. Themes included a view that growth of West Edinburgh was generally undesirable; opposition to restrictions on car usage; </w:t>
      </w:r>
      <w:r w:rsidR="00C90AD3" w:rsidRPr="00C90AD3">
        <w:t xml:space="preserve">and </w:t>
      </w:r>
      <w:r w:rsidRPr="00C90AD3">
        <w:t>scepticism about net zero carbon / active travel initiatives</w:t>
      </w:r>
      <w:r w:rsidR="00C90AD3" w:rsidRPr="00C90AD3">
        <w:t xml:space="preserve">. Several respondents stated they generally supported the themes and actions but were sceptical about the process for delivery. Specific suggestions raised </w:t>
      </w:r>
      <w:r w:rsidR="00C90AD3" w:rsidRPr="00E71FF5">
        <w:t>included traffic calming of Maybury Road and considering the needs of existing communities at the westernmost extent of Edinburgh.</w:t>
      </w:r>
    </w:p>
    <w:p w14:paraId="6CCBAF7A" w14:textId="77777777" w:rsidR="007F564D" w:rsidRPr="00E71FF5" w:rsidRDefault="007F564D" w:rsidP="00514A66">
      <w:pPr>
        <w:pStyle w:val="ListParagraph"/>
        <w:ind w:hanging="934"/>
      </w:pPr>
    </w:p>
    <w:p w14:paraId="5D17CC50" w14:textId="31325B09" w:rsidR="007F564D" w:rsidRPr="00E71FF5" w:rsidRDefault="007F564D" w:rsidP="00514A66">
      <w:pPr>
        <w:pStyle w:val="ListParagraph"/>
        <w:numPr>
          <w:ilvl w:val="1"/>
          <w:numId w:val="37"/>
        </w:numPr>
        <w:ind w:hanging="934"/>
        <w:jc w:val="both"/>
      </w:pPr>
      <w:r w:rsidRPr="00E71FF5">
        <w:t xml:space="preserve">Respondents were invited to </w:t>
      </w:r>
      <w:r w:rsidR="005A71B3" w:rsidRPr="00E71FF5">
        <w:t>suggest other</w:t>
      </w:r>
      <w:r w:rsidRPr="00E71FF5">
        <w:t xml:space="preserve"> </w:t>
      </w:r>
      <w:r w:rsidR="00C90AD3" w:rsidRPr="00E71FF5">
        <w:t>themes and related actions</w:t>
      </w:r>
      <w:r w:rsidRPr="00E71FF5">
        <w:t xml:space="preserve">. </w:t>
      </w:r>
      <w:r w:rsidR="005A71B3" w:rsidRPr="00E71FF5">
        <w:t>Suggested additional themes included housing; density;</w:t>
      </w:r>
      <w:r w:rsidR="005B1B2A" w:rsidRPr="00E71FF5">
        <w:t xml:space="preserve"> the provision of schools and other facilities; health and wellbeing; young people; community greenspace</w:t>
      </w:r>
      <w:r w:rsidR="00E71FF5" w:rsidRPr="00E71FF5">
        <w:t xml:space="preserve"> / areas of biodiversity net gain</w:t>
      </w:r>
      <w:r w:rsidR="000539ED">
        <w:t xml:space="preserve"> / nature restoration</w:t>
      </w:r>
      <w:r w:rsidR="005B1B2A" w:rsidRPr="00E71FF5">
        <w:t>; and the historic environment.</w:t>
      </w:r>
      <w:r w:rsidR="00557916" w:rsidRPr="00E71FF5">
        <w:t xml:space="preserve"> Specific proposals included residential-led development at Riccarton and Kirkliston. Technical points were raised including:</w:t>
      </w:r>
    </w:p>
    <w:p w14:paraId="5E04106B" w14:textId="77777777" w:rsidR="00557916" w:rsidRPr="00E71FF5" w:rsidRDefault="00557916" w:rsidP="00514A66">
      <w:pPr>
        <w:pStyle w:val="ListParagraph"/>
        <w:ind w:left="1512" w:hanging="934"/>
        <w:jc w:val="both"/>
      </w:pPr>
    </w:p>
    <w:p w14:paraId="79F68EFD" w14:textId="2B81A78D" w:rsidR="00557916" w:rsidRPr="00E71FF5" w:rsidRDefault="00557916" w:rsidP="00514A66">
      <w:pPr>
        <w:pStyle w:val="ListParagraph"/>
        <w:numPr>
          <w:ilvl w:val="0"/>
          <w:numId w:val="39"/>
        </w:numPr>
        <w:jc w:val="both"/>
      </w:pPr>
      <w:r w:rsidRPr="00E71FF5">
        <w:t>The areas denoted by overlapping circles on the spatial opportunities diagram (page 8) include extensive areas of flooding; the Murray Burn also presents a flood risk.</w:t>
      </w:r>
    </w:p>
    <w:p w14:paraId="3E6D3757" w14:textId="4435BA0A" w:rsidR="00557916" w:rsidRPr="00E71FF5" w:rsidRDefault="00557916" w:rsidP="00514A66">
      <w:pPr>
        <w:pStyle w:val="ListParagraph"/>
        <w:numPr>
          <w:ilvl w:val="0"/>
          <w:numId w:val="39"/>
        </w:numPr>
        <w:jc w:val="both"/>
      </w:pPr>
      <w:r w:rsidRPr="00E71FF5">
        <w:t xml:space="preserve">There is an apparent contradiction between the Spatial Strategy plan (page 13), which references a potential future tram extension, and the reference on page 18 to a potential future MRT/tram extension. Bus rapid transit is noted as potentially being a faster-to-implement solution than tram extensions. </w:t>
      </w:r>
    </w:p>
    <w:p w14:paraId="3B0F3F41" w14:textId="04C942F0" w:rsidR="00557916" w:rsidRPr="00E71FF5" w:rsidRDefault="00E71FF5" w:rsidP="00514A66">
      <w:pPr>
        <w:pStyle w:val="ListParagraph"/>
        <w:numPr>
          <w:ilvl w:val="0"/>
          <w:numId w:val="39"/>
        </w:numPr>
        <w:jc w:val="both"/>
      </w:pPr>
      <w:r w:rsidRPr="00E71FF5">
        <w:t>The meaning of the colour coding</w:t>
      </w:r>
      <w:r w:rsidR="00557916" w:rsidRPr="00E71FF5">
        <w:t xml:space="preserve"> within the Western District ellipse </w:t>
      </w:r>
      <w:r w:rsidRPr="00E71FF5">
        <w:t>is unclear</w:t>
      </w:r>
      <w:r w:rsidR="00557916" w:rsidRPr="00E71FF5">
        <w:t xml:space="preserve">. </w:t>
      </w:r>
    </w:p>
    <w:p w14:paraId="1CC9B918" w14:textId="77777777" w:rsidR="007F564D" w:rsidRDefault="007F564D" w:rsidP="00514A66">
      <w:pPr>
        <w:pStyle w:val="ListParagraph"/>
        <w:ind w:left="360" w:hanging="934"/>
        <w:jc w:val="both"/>
        <w:rPr>
          <w:b/>
          <w:bCs/>
        </w:rPr>
      </w:pPr>
    </w:p>
    <w:tbl>
      <w:tblPr>
        <w:tblStyle w:val="TableGrid"/>
        <w:tblW w:w="0" w:type="auto"/>
        <w:tblInd w:w="-147" w:type="dxa"/>
        <w:tblLook w:val="04A0" w:firstRow="1" w:lastRow="0" w:firstColumn="1" w:lastColumn="0" w:noHBand="0" w:noVBand="1"/>
      </w:tblPr>
      <w:tblGrid>
        <w:gridCol w:w="9163"/>
      </w:tblGrid>
      <w:tr w:rsidR="000C5AF3" w14:paraId="09DC0C65" w14:textId="77777777" w:rsidTr="003F1CE0">
        <w:tc>
          <w:tcPr>
            <w:tcW w:w="9163" w:type="dxa"/>
            <w:shd w:val="clear" w:color="auto" w:fill="D9D9D9" w:themeFill="background1" w:themeFillShade="D9"/>
          </w:tcPr>
          <w:p w14:paraId="768C9278" w14:textId="02CA2B18" w:rsidR="000C5AF3" w:rsidRPr="00514A66" w:rsidRDefault="000C5AF3" w:rsidP="008B6570">
            <w:pPr>
              <w:pStyle w:val="ListParagraph"/>
              <w:ind w:left="0"/>
              <w:jc w:val="center"/>
              <w:rPr>
                <w:b/>
                <w:bCs/>
              </w:rPr>
            </w:pPr>
            <w:r w:rsidRPr="00514A66">
              <w:rPr>
                <w:b/>
                <w:bCs/>
              </w:rPr>
              <w:t>Response</w:t>
            </w:r>
            <w:r>
              <w:rPr>
                <w:b/>
                <w:bCs/>
              </w:rPr>
              <w:t xml:space="preserve"> to views on themes and actions in </w:t>
            </w:r>
            <w:r w:rsidRPr="000C5AF3">
              <w:rPr>
                <w:b/>
                <w:bCs/>
                <w:i/>
                <w:iCs/>
              </w:rPr>
              <w:t>Towards West Edinburgh 2050</w:t>
            </w:r>
          </w:p>
        </w:tc>
      </w:tr>
      <w:tr w:rsidR="000C5AF3" w14:paraId="3B47FC4C" w14:textId="77777777" w:rsidTr="003F1CE0">
        <w:tc>
          <w:tcPr>
            <w:tcW w:w="9163" w:type="dxa"/>
          </w:tcPr>
          <w:p w14:paraId="59D42979" w14:textId="3604A58C" w:rsidR="003E7992" w:rsidRPr="00804998" w:rsidRDefault="003E7992" w:rsidP="00804998">
            <w:pPr>
              <w:pStyle w:val="ListParagraph"/>
              <w:ind w:left="0"/>
              <w:jc w:val="both"/>
            </w:pPr>
            <w:r w:rsidRPr="00804998">
              <w:t>“T</w:t>
            </w:r>
            <w:r w:rsidRPr="00804998">
              <w:t>raffic management /calming at Maybury Road</w:t>
            </w:r>
            <w:r w:rsidRPr="00804998">
              <w:t xml:space="preserve">” has been added under “Connectivity”. </w:t>
            </w:r>
            <w:r w:rsidRPr="00804998">
              <w:t>No changes have been made in relation to opposition to restrictions around car usage, scepticism around net zero carbon/active travel or the process for delivery as these are directly relate to existing policy or already referred to in the document.</w:t>
            </w:r>
            <w:r w:rsidRPr="00804998">
              <w:t xml:space="preserve"> </w:t>
            </w:r>
            <w:r w:rsidRPr="00804998">
              <w:t>No changes have been made in relation to opposition to restrictions around car usage, scepticism around net zero carbon/active travel or the process for delivery as these are directly relate to existing policy or already referred to in the document.</w:t>
            </w:r>
            <w:r w:rsidR="00804998" w:rsidRPr="00804998">
              <w:t xml:space="preserve"> </w:t>
            </w:r>
            <w:r w:rsidR="00804998" w:rsidRPr="00804998">
              <w:t>The key to the map on page 1</w:t>
            </w:r>
            <w:r w:rsidR="00804998" w:rsidRPr="00804998">
              <w:t>2</w:t>
            </w:r>
            <w:r w:rsidR="00804998" w:rsidRPr="00804998">
              <w:t xml:space="preserve"> has been altered to change the note regarding Trams to ‘Proposed MRT / Tram route extensions and ‘Potential future MRT / Tram route extensions.</w:t>
            </w:r>
          </w:p>
        </w:tc>
      </w:tr>
    </w:tbl>
    <w:p w14:paraId="2F47F4F1" w14:textId="77777777" w:rsidR="000C5AF3" w:rsidRPr="00E71FF5" w:rsidRDefault="000C5AF3" w:rsidP="00514A66">
      <w:pPr>
        <w:pStyle w:val="ListParagraph"/>
        <w:ind w:left="360" w:hanging="934"/>
        <w:jc w:val="both"/>
        <w:rPr>
          <w:b/>
          <w:bCs/>
        </w:rPr>
      </w:pPr>
    </w:p>
    <w:p w14:paraId="147FCD70" w14:textId="2C8650D8" w:rsidR="00617AA1" w:rsidRPr="00617AA1" w:rsidRDefault="00617AA1" w:rsidP="00514A66">
      <w:pPr>
        <w:pStyle w:val="ListParagraph"/>
        <w:numPr>
          <w:ilvl w:val="1"/>
          <w:numId w:val="37"/>
        </w:numPr>
        <w:tabs>
          <w:tab w:val="left" w:pos="851"/>
        </w:tabs>
        <w:ind w:left="851" w:hanging="934"/>
        <w:jc w:val="both"/>
        <w:rPr>
          <w:rFonts w:cstheme="minorHAnsi"/>
        </w:rPr>
      </w:pPr>
      <w:r w:rsidRPr="00E71FF5">
        <w:rPr>
          <w:rFonts w:cstheme="minorHAnsi"/>
        </w:rPr>
        <w:t xml:space="preserve">Respondents were asked if they agreed with the six dependencies set out in </w:t>
      </w:r>
      <w:r w:rsidRPr="00E71FF5">
        <w:rPr>
          <w:rFonts w:cstheme="minorHAnsi"/>
          <w:i/>
          <w:iCs/>
        </w:rPr>
        <w:t>Towards West Edinburgh 2050</w:t>
      </w:r>
      <w:r w:rsidRPr="00E71FF5">
        <w:rPr>
          <w:rFonts w:cstheme="minorHAnsi"/>
        </w:rPr>
        <w:t>: “Providing leadership and clarity”; “Taking a people-focused approach”; “Investing in sustainable transport</w:t>
      </w:r>
      <w:r w:rsidRPr="00617AA1">
        <w:rPr>
          <w:rFonts w:cstheme="minorHAnsi"/>
        </w:rPr>
        <w:t>”; “Encouraging a collaborative approach to landowners and development”; “Planning for infrastructure costs and timing”; and “Taking an inclusive approach to skills, culture and learning”.</w:t>
      </w:r>
    </w:p>
    <w:p w14:paraId="6B3E0FEE" w14:textId="77777777" w:rsidR="00617AA1" w:rsidRPr="00617AA1" w:rsidRDefault="00617AA1" w:rsidP="00617AA1">
      <w:pPr>
        <w:pStyle w:val="ListParagraph"/>
        <w:rPr>
          <w:rFonts w:cstheme="minorHAnsi"/>
        </w:rPr>
      </w:pPr>
    </w:p>
    <w:tbl>
      <w:tblPr>
        <w:tblStyle w:val="TableGrid"/>
        <w:tblW w:w="0" w:type="auto"/>
        <w:tblInd w:w="-147" w:type="dxa"/>
        <w:tblLook w:val="04A0" w:firstRow="1" w:lastRow="0" w:firstColumn="1" w:lastColumn="0" w:noHBand="0" w:noVBand="1"/>
      </w:tblPr>
      <w:tblGrid>
        <w:gridCol w:w="4390"/>
        <w:gridCol w:w="850"/>
        <w:gridCol w:w="714"/>
        <w:gridCol w:w="917"/>
        <w:gridCol w:w="764"/>
        <w:gridCol w:w="764"/>
        <w:gridCol w:w="764"/>
      </w:tblGrid>
      <w:tr w:rsidR="00617AA1" w:rsidRPr="00617AA1" w14:paraId="23E00473" w14:textId="77777777" w:rsidTr="00E001C6">
        <w:trPr>
          <w:cantSplit/>
          <w:trHeight w:val="1134"/>
        </w:trPr>
        <w:tc>
          <w:tcPr>
            <w:tcW w:w="4390" w:type="dxa"/>
            <w:shd w:val="clear" w:color="auto" w:fill="D9D9D9" w:themeFill="background1" w:themeFillShade="D9"/>
            <w:vAlign w:val="center"/>
          </w:tcPr>
          <w:p w14:paraId="1C993BC2" w14:textId="304C6843" w:rsidR="00617AA1" w:rsidRPr="00617AA1" w:rsidRDefault="00617AA1" w:rsidP="00E001C6">
            <w:pPr>
              <w:pStyle w:val="ListParagraph"/>
              <w:ind w:left="0"/>
              <w:jc w:val="center"/>
              <w:rPr>
                <w:rFonts w:cstheme="minorHAnsi"/>
                <w:b/>
                <w:bCs/>
                <w:sz w:val="20"/>
                <w:szCs w:val="20"/>
              </w:rPr>
            </w:pPr>
            <w:r w:rsidRPr="00617AA1">
              <w:rPr>
                <w:rFonts w:cstheme="minorHAnsi"/>
                <w:b/>
                <w:bCs/>
                <w:sz w:val="20"/>
                <w:szCs w:val="20"/>
              </w:rPr>
              <w:t>Statement</w:t>
            </w:r>
            <w:r w:rsidR="000C5AF3">
              <w:rPr>
                <w:rFonts w:cstheme="minorHAnsi"/>
                <w:b/>
                <w:bCs/>
                <w:sz w:val="20"/>
                <w:szCs w:val="20"/>
              </w:rPr>
              <w:t xml:space="preserve"> on dependencies for</w:t>
            </w:r>
            <w:r w:rsidR="000C5AF3" w:rsidRPr="000C5AF3">
              <w:rPr>
                <w:rFonts w:cstheme="minorHAnsi"/>
                <w:b/>
                <w:bCs/>
                <w:i/>
                <w:iCs/>
                <w:sz w:val="20"/>
                <w:szCs w:val="20"/>
              </w:rPr>
              <w:t xml:space="preserve"> Towards West Edinbu</w:t>
            </w:r>
            <w:r w:rsidR="000C5AF3">
              <w:rPr>
                <w:rFonts w:cstheme="minorHAnsi"/>
                <w:b/>
                <w:bCs/>
                <w:i/>
                <w:iCs/>
                <w:sz w:val="20"/>
                <w:szCs w:val="20"/>
              </w:rPr>
              <w:t>r</w:t>
            </w:r>
            <w:r w:rsidR="000C5AF3" w:rsidRPr="000C5AF3">
              <w:rPr>
                <w:rFonts w:cstheme="minorHAnsi"/>
                <w:b/>
                <w:bCs/>
                <w:i/>
                <w:iCs/>
                <w:sz w:val="20"/>
                <w:szCs w:val="20"/>
              </w:rPr>
              <w:t>gh 205</w:t>
            </w:r>
            <w:r w:rsidR="000C5AF3">
              <w:rPr>
                <w:rFonts w:cstheme="minorHAnsi"/>
                <w:b/>
                <w:bCs/>
                <w:i/>
                <w:iCs/>
                <w:sz w:val="20"/>
                <w:szCs w:val="20"/>
              </w:rPr>
              <w:t>0</w:t>
            </w:r>
          </w:p>
        </w:tc>
        <w:tc>
          <w:tcPr>
            <w:tcW w:w="850" w:type="dxa"/>
            <w:shd w:val="clear" w:color="auto" w:fill="D9D9D9" w:themeFill="background1" w:themeFillShade="D9"/>
            <w:textDirection w:val="btLr"/>
            <w:vAlign w:val="center"/>
          </w:tcPr>
          <w:p w14:paraId="3D963CE5" w14:textId="77777777" w:rsidR="00617AA1" w:rsidRPr="00617AA1" w:rsidRDefault="00617AA1" w:rsidP="00E001C6">
            <w:pPr>
              <w:pStyle w:val="ListParagraph"/>
              <w:ind w:left="113" w:right="113"/>
              <w:jc w:val="center"/>
              <w:rPr>
                <w:rFonts w:cstheme="minorHAnsi"/>
                <w:b/>
                <w:bCs/>
                <w:sz w:val="20"/>
                <w:szCs w:val="20"/>
              </w:rPr>
            </w:pPr>
            <w:r w:rsidRPr="00617AA1">
              <w:rPr>
                <w:rFonts w:cstheme="minorHAnsi"/>
                <w:b/>
                <w:bCs/>
                <w:sz w:val="20"/>
                <w:szCs w:val="20"/>
              </w:rPr>
              <w:t>Strongly agree</w:t>
            </w:r>
          </w:p>
        </w:tc>
        <w:tc>
          <w:tcPr>
            <w:tcW w:w="714" w:type="dxa"/>
            <w:shd w:val="clear" w:color="auto" w:fill="D9D9D9" w:themeFill="background1" w:themeFillShade="D9"/>
            <w:textDirection w:val="btLr"/>
            <w:vAlign w:val="center"/>
          </w:tcPr>
          <w:p w14:paraId="47AAF89B" w14:textId="77777777" w:rsidR="00617AA1" w:rsidRPr="00617AA1" w:rsidRDefault="00617AA1" w:rsidP="00E001C6">
            <w:pPr>
              <w:pStyle w:val="ListParagraph"/>
              <w:ind w:left="113" w:right="113"/>
              <w:jc w:val="center"/>
              <w:rPr>
                <w:rFonts w:cstheme="minorHAnsi"/>
                <w:b/>
                <w:bCs/>
                <w:sz w:val="20"/>
                <w:szCs w:val="20"/>
              </w:rPr>
            </w:pPr>
            <w:r w:rsidRPr="00617AA1">
              <w:rPr>
                <w:rFonts w:cstheme="minorHAnsi"/>
                <w:b/>
                <w:bCs/>
                <w:sz w:val="20"/>
                <w:szCs w:val="20"/>
              </w:rPr>
              <w:t>Agree</w:t>
            </w:r>
          </w:p>
        </w:tc>
        <w:tc>
          <w:tcPr>
            <w:tcW w:w="917" w:type="dxa"/>
            <w:shd w:val="clear" w:color="auto" w:fill="D9D9D9" w:themeFill="background1" w:themeFillShade="D9"/>
            <w:textDirection w:val="btLr"/>
            <w:vAlign w:val="center"/>
          </w:tcPr>
          <w:p w14:paraId="05101CDE" w14:textId="77777777" w:rsidR="00617AA1" w:rsidRPr="00617AA1" w:rsidRDefault="00617AA1" w:rsidP="00E001C6">
            <w:pPr>
              <w:pStyle w:val="ListParagraph"/>
              <w:ind w:left="113" w:right="113"/>
              <w:jc w:val="center"/>
              <w:rPr>
                <w:rFonts w:cstheme="minorHAnsi"/>
                <w:b/>
                <w:bCs/>
                <w:sz w:val="20"/>
                <w:szCs w:val="20"/>
              </w:rPr>
            </w:pPr>
            <w:r w:rsidRPr="00617AA1">
              <w:rPr>
                <w:rFonts w:cstheme="minorHAnsi"/>
                <w:b/>
                <w:bCs/>
                <w:sz w:val="20"/>
                <w:szCs w:val="20"/>
              </w:rPr>
              <w:t>Neither agree nor disagree</w:t>
            </w:r>
          </w:p>
        </w:tc>
        <w:tc>
          <w:tcPr>
            <w:tcW w:w="764" w:type="dxa"/>
            <w:shd w:val="clear" w:color="auto" w:fill="D9D9D9" w:themeFill="background1" w:themeFillShade="D9"/>
            <w:textDirection w:val="btLr"/>
            <w:vAlign w:val="center"/>
          </w:tcPr>
          <w:p w14:paraId="563019DC" w14:textId="77777777" w:rsidR="00617AA1" w:rsidRPr="00617AA1" w:rsidRDefault="00617AA1" w:rsidP="00E001C6">
            <w:pPr>
              <w:pStyle w:val="ListParagraph"/>
              <w:ind w:left="113" w:right="113"/>
              <w:jc w:val="center"/>
              <w:rPr>
                <w:rFonts w:cstheme="minorHAnsi"/>
                <w:b/>
                <w:bCs/>
                <w:sz w:val="20"/>
                <w:szCs w:val="20"/>
              </w:rPr>
            </w:pPr>
            <w:r w:rsidRPr="00617AA1">
              <w:rPr>
                <w:rFonts w:cstheme="minorHAnsi"/>
                <w:b/>
                <w:bCs/>
                <w:sz w:val="20"/>
                <w:szCs w:val="20"/>
              </w:rPr>
              <w:t>Disagree</w:t>
            </w:r>
          </w:p>
        </w:tc>
        <w:tc>
          <w:tcPr>
            <w:tcW w:w="764" w:type="dxa"/>
            <w:shd w:val="clear" w:color="auto" w:fill="D9D9D9" w:themeFill="background1" w:themeFillShade="D9"/>
            <w:textDirection w:val="btLr"/>
            <w:vAlign w:val="center"/>
          </w:tcPr>
          <w:p w14:paraId="0E5CE305" w14:textId="77777777" w:rsidR="00617AA1" w:rsidRPr="00617AA1" w:rsidRDefault="00617AA1" w:rsidP="00E001C6">
            <w:pPr>
              <w:pStyle w:val="ListParagraph"/>
              <w:ind w:left="113" w:right="113"/>
              <w:jc w:val="center"/>
              <w:rPr>
                <w:rFonts w:cstheme="minorHAnsi"/>
                <w:b/>
                <w:bCs/>
                <w:sz w:val="20"/>
                <w:szCs w:val="20"/>
              </w:rPr>
            </w:pPr>
            <w:r w:rsidRPr="00617AA1">
              <w:rPr>
                <w:rFonts w:cstheme="minorHAnsi"/>
                <w:b/>
                <w:bCs/>
                <w:sz w:val="20"/>
                <w:szCs w:val="20"/>
              </w:rPr>
              <w:t>Strongly disagree</w:t>
            </w:r>
          </w:p>
        </w:tc>
        <w:tc>
          <w:tcPr>
            <w:tcW w:w="764" w:type="dxa"/>
            <w:shd w:val="clear" w:color="auto" w:fill="D9D9D9" w:themeFill="background1" w:themeFillShade="D9"/>
            <w:textDirection w:val="btLr"/>
            <w:vAlign w:val="center"/>
          </w:tcPr>
          <w:p w14:paraId="1C7DDEFB" w14:textId="77777777" w:rsidR="00617AA1" w:rsidRPr="00617AA1" w:rsidRDefault="00617AA1" w:rsidP="00E001C6">
            <w:pPr>
              <w:pStyle w:val="ListParagraph"/>
              <w:ind w:left="113" w:right="113"/>
              <w:jc w:val="center"/>
              <w:rPr>
                <w:rFonts w:cstheme="minorHAnsi"/>
                <w:b/>
                <w:bCs/>
                <w:sz w:val="20"/>
                <w:szCs w:val="20"/>
              </w:rPr>
            </w:pPr>
            <w:r w:rsidRPr="00617AA1">
              <w:rPr>
                <w:rFonts w:cstheme="minorHAnsi"/>
                <w:b/>
                <w:bCs/>
                <w:sz w:val="20"/>
                <w:szCs w:val="20"/>
              </w:rPr>
              <w:t>Not answered</w:t>
            </w:r>
          </w:p>
        </w:tc>
      </w:tr>
      <w:tr w:rsidR="00617AA1" w:rsidRPr="00617AA1" w14:paraId="3089A783" w14:textId="77777777" w:rsidTr="00E001C6">
        <w:tc>
          <w:tcPr>
            <w:tcW w:w="4390" w:type="dxa"/>
          </w:tcPr>
          <w:p w14:paraId="64176B45" w14:textId="18ED9935" w:rsidR="00617AA1" w:rsidRPr="00617AA1" w:rsidRDefault="00617AA1" w:rsidP="00E001C6">
            <w:pPr>
              <w:jc w:val="both"/>
              <w:rPr>
                <w:rFonts w:cstheme="minorHAnsi"/>
                <w:sz w:val="20"/>
                <w:szCs w:val="20"/>
              </w:rPr>
            </w:pPr>
            <w:r w:rsidRPr="00617AA1">
              <w:rPr>
                <w:rFonts w:cstheme="minorHAnsi"/>
                <w:sz w:val="20"/>
                <w:szCs w:val="20"/>
              </w:rPr>
              <w:t xml:space="preserve">The ‘Making it Happen’ section of </w:t>
            </w:r>
            <w:r w:rsidRPr="00617AA1">
              <w:rPr>
                <w:rFonts w:cstheme="minorHAnsi"/>
                <w:i/>
                <w:iCs/>
                <w:sz w:val="20"/>
                <w:szCs w:val="20"/>
              </w:rPr>
              <w:t>Towards West Edinburgh 2050</w:t>
            </w:r>
            <w:r w:rsidRPr="00617AA1">
              <w:rPr>
                <w:rFonts w:cstheme="minorHAnsi"/>
                <w:sz w:val="20"/>
                <w:szCs w:val="20"/>
              </w:rPr>
              <w:t xml:space="preserve"> identifies six “dependencies” – actions that must be taken to deliver the vision for West Edinburgh. Do you agree with these?</w:t>
            </w:r>
          </w:p>
        </w:tc>
        <w:tc>
          <w:tcPr>
            <w:tcW w:w="850" w:type="dxa"/>
            <w:vAlign w:val="center"/>
          </w:tcPr>
          <w:p w14:paraId="717B1872" w14:textId="59F21E47" w:rsidR="00617AA1" w:rsidRPr="00617AA1" w:rsidRDefault="00617AA1" w:rsidP="00E001C6">
            <w:pPr>
              <w:pStyle w:val="ListParagraph"/>
              <w:ind w:left="0"/>
              <w:jc w:val="center"/>
              <w:rPr>
                <w:rFonts w:cstheme="minorHAnsi"/>
                <w:sz w:val="20"/>
                <w:szCs w:val="20"/>
              </w:rPr>
            </w:pPr>
            <w:r w:rsidRPr="00617AA1">
              <w:rPr>
                <w:rFonts w:ascii="Calibri" w:hAnsi="Calibri" w:cs="Calibri"/>
                <w:sz w:val="20"/>
                <w:szCs w:val="20"/>
              </w:rPr>
              <w:t>20.7%</w:t>
            </w:r>
          </w:p>
        </w:tc>
        <w:tc>
          <w:tcPr>
            <w:tcW w:w="714" w:type="dxa"/>
            <w:vAlign w:val="center"/>
          </w:tcPr>
          <w:p w14:paraId="1A65BA36" w14:textId="51234D2A" w:rsidR="00617AA1" w:rsidRPr="00617AA1" w:rsidRDefault="00617AA1" w:rsidP="00E001C6">
            <w:pPr>
              <w:pStyle w:val="ListParagraph"/>
              <w:ind w:left="0"/>
              <w:jc w:val="center"/>
              <w:rPr>
                <w:rFonts w:cstheme="minorHAnsi"/>
                <w:sz w:val="20"/>
                <w:szCs w:val="20"/>
              </w:rPr>
            </w:pPr>
            <w:r w:rsidRPr="00617AA1">
              <w:rPr>
                <w:rFonts w:ascii="Calibri" w:hAnsi="Calibri" w:cs="Calibri"/>
                <w:sz w:val="20"/>
                <w:szCs w:val="20"/>
              </w:rPr>
              <w:t>35.0%</w:t>
            </w:r>
          </w:p>
        </w:tc>
        <w:tc>
          <w:tcPr>
            <w:tcW w:w="917" w:type="dxa"/>
            <w:vAlign w:val="center"/>
          </w:tcPr>
          <w:p w14:paraId="4BA57991" w14:textId="6725BBF4" w:rsidR="00617AA1" w:rsidRPr="00617AA1" w:rsidRDefault="00617AA1" w:rsidP="00E001C6">
            <w:pPr>
              <w:pStyle w:val="ListParagraph"/>
              <w:ind w:left="0"/>
              <w:jc w:val="center"/>
              <w:rPr>
                <w:rFonts w:cstheme="minorHAnsi"/>
                <w:sz w:val="20"/>
                <w:szCs w:val="20"/>
              </w:rPr>
            </w:pPr>
            <w:r w:rsidRPr="00617AA1">
              <w:rPr>
                <w:rFonts w:ascii="Calibri" w:hAnsi="Calibri" w:cs="Calibri"/>
                <w:sz w:val="20"/>
                <w:szCs w:val="20"/>
              </w:rPr>
              <w:t>24.6%</w:t>
            </w:r>
          </w:p>
        </w:tc>
        <w:tc>
          <w:tcPr>
            <w:tcW w:w="764" w:type="dxa"/>
            <w:vAlign w:val="center"/>
          </w:tcPr>
          <w:p w14:paraId="26358240" w14:textId="090F8B37" w:rsidR="00617AA1" w:rsidRPr="00617AA1" w:rsidRDefault="00617AA1" w:rsidP="00E001C6">
            <w:pPr>
              <w:pStyle w:val="ListParagraph"/>
              <w:ind w:left="0"/>
              <w:jc w:val="center"/>
              <w:rPr>
                <w:rFonts w:cstheme="minorHAnsi"/>
                <w:sz w:val="20"/>
                <w:szCs w:val="20"/>
              </w:rPr>
            </w:pPr>
            <w:r w:rsidRPr="00617AA1">
              <w:rPr>
                <w:rFonts w:ascii="Calibri" w:hAnsi="Calibri" w:cs="Calibri"/>
                <w:sz w:val="20"/>
                <w:szCs w:val="20"/>
              </w:rPr>
              <w:t>6.4%</w:t>
            </w:r>
          </w:p>
        </w:tc>
        <w:tc>
          <w:tcPr>
            <w:tcW w:w="764" w:type="dxa"/>
            <w:vAlign w:val="center"/>
          </w:tcPr>
          <w:p w14:paraId="6DD28B2B" w14:textId="710EB88C" w:rsidR="00617AA1" w:rsidRPr="00617AA1" w:rsidRDefault="00617AA1" w:rsidP="00E001C6">
            <w:pPr>
              <w:pStyle w:val="ListParagraph"/>
              <w:ind w:left="0"/>
              <w:jc w:val="center"/>
              <w:rPr>
                <w:rFonts w:cstheme="minorHAnsi"/>
                <w:sz w:val="20"/>
                <w:szCs w:val="20"/>
              </w:rPr>
            </w:pPr>
            <w:r w:rsidRPr="00617AA1">
              <w:rPr>
                <w:rFonts w:ascii="Calibri" w:hAnsi="Calibri" w:cs="Calibri"/>
                <w:sz w:val="20"/>
                <w:szCs w:val="20"/>
              </w:rPr>
              <w:t>9.4%</w:t>
            </w:r>
          </w:p>
        </w:tc>
        <w:tc>
          <w:tcPr>
            <w:tcW w:w="764" w:type="dxa"/>
            <w:vAlign w:val="center"/>
          </w:tcPr>
          <w:p w14:paraId="4131DA1F" w14:textId="1D05C617" w:rsidR="00617AA1" w:rsidRPr="00617AA1" w:rsidRDefault="00617AA1" w:rsidP="00E001C6">
            <w:pPr>
              <w:pStyle w:val="ListParagraph"/>
              <w:ind w:left="0"/>
              <w:jc w:val="center"/>
              <w:rPr>
                <w:rFonts w:cstheme="minorHAnsi"/>
                <w:sz w:val="20"/>
                <w:szCs w:val="20"/>
              </w:rPr>
            </w:pPr>
            <w:r w:rsidRPr="00617AA1">
              <w:rPr>
                <w:rFonts w:ascii="Calibri" w:hAnsi="Calibri" w:cs="Calibri"/>
                <w:sz w:val="20"/>
                <w:szCs w:val="20"/>
              </w:rPr>
              <w:t>3.9%</w:t>
            </w:r>
          </w:p>
        </w:tc>
      </w:tr>
    </w:tbl>
    <w:p w14:paraId="2BEC14AC" w14:textId="77777777" w:rsidR="00617AA1" w:rsidRPr="00617AA1" w:rsidRDefault="00617AA1" w:rsidP="00617AA1">
      <w:pPr>
        <w:pStyle w:val="ListParagraph"/>
        <w:ind w:left="792"/>
        <w:jc w:val="both"/>
        <w:rPr>
          <w:rFonts w:cstheme="minorHAnsi"/>
        </w:rPr>
      </w:pPr>
    </w:p>
    <w:p w14:paraId="2171BA91" w14:textId="77777777" w:rsidR="003F5239" w:rsidRDefault="00617AA1" w:rsidP="00514A66">
      <w:pPr>
        <w:pStyle w:val="ListParagraph"/>
        <w:numPr>
          <w:ilvl w:val="1"/>
          <w:numId w:val="37"/>
        </w:numPr>
        <w:tabs>
          <w:tab w:val="left" w:pos="851"/>
        </w:tabs>
        <w:ind w:left="851" w:hanging="993"/>
        <w:jc w:val="both"/>
        <w:rPr>
          <w:rFonts w:cstheme="minorHAnsi"/>
        </w:rPr>
      </w:pPr>
      <w:r w:rsidRPr="00617AA1">
        <w:rPr>
          <w:rFonts w:cstheme="minorHAnsi"/>
        </w:rPr>
        <w:t>The majority of respondents agreed with the six dependencies.</w:t>
      </w:r>
    </w:p>
    <w:p w14:paraId="13ECCE2B" w14:textId="77777777" w:rsidR="003F5239" w:rsidRDefault="003F5239" w:rsidP="00514A66">
      <w:pPr>
        <w:pStyle w:val="ListParagraph"/>
        <w:tabs>
          <w:tab w:val="left" w:pos="851"/>
        </w:tabs>
        <w:ind w:left="851" w:hanging="993"/>
        <w:jc w:val="both"/>
        <w:rPr>
          <w:rFonts w:cstheme="minorHAnsi"/>
        </w:rPr>
      </w:pPr>
    </w:p>
    <w:p w14:paraId="5EEFB9B2" w14:textId="77777777" w:rsidR="003F5239" w:rsidRPr="003F5239" w:rsidRDefault="00F06B21" w:rsidP="00514A66">
      <w:pPr>
        <w:pStyle w:val="ListParagraph"/>
        <w:numPr>
          <w:ilvl w:val="1"/>
          <w:numId w:val="37"/>
        </w:numPr>
        <w:tabs>
          <w:tab w:val="left" w:pos="851"/>
        </w:tabs>
        <w:ind w:left="851" w:hanging="993"/>
        <w:jc w:val="both"/>
        <w:rPr>
          <w:rFonts w:cstheme="minorHAnsi"/>
        </w:rPr>
      </w:pPr>
      <w:r w:rsidRPr="00F06B21">
        <w:t xml:space="preserve">Respondents who disagreed that the </w:t>
      </w:r>
      <w:r w:rsidRPr="003F5239">
        <w:t xml:space="preserve">dependencies were asked to explain why. Multiple respondents felt that the wording of the dependencies was unclear. </w:t>
      </w:r>
    </w:p>
    <w:p w14:paraId="2DB3D1AF" w14:textId="77777777" w:rsidR="003F5239" w:rsidRDefault="003F5239" w:rsidP="00514A66">
      <w:pPr>
        <w:pStyle w:val="ListParagraph"/>
        <w:ind w:hanging="993"/>
      </w:pPr>
    </w:p>
    <w:p w14:paraId="2C0A18A4" w14:textId="3ECEEF8B" w:rsidR="00F06B21" w:rsidRPr="00DF77EB" w:rsidRDefault="00F06B21" w:rsidP="00514A66">
      <w:pPr>
        <w:pStyle w:val="ListParagraph"/>
        <w:numPr>
          <w:ilvl w:val="1"/>
          <w:numId w:val="37"/>
        </w:numPr>
        <w:tabs>
          <w:tab w:val="left" w:pos="851"/>
        </w:tabs>
        <w:ind w:left="851" w:hanging="993"/>
        <w:jc w:val="both"/>
        <w:rPr>
          <w:rFonts w:cstheme="minorHAnsi"/>
        </w:rPr>
      </w:pPr>
      <w:r w:rsidRPr="003F5239">
        <w:t xml:space="preserve">Respondents were invited to suggest other dependencies. Suggested additional </w:t>
      </w:r>
      <w:r w:rsidRPr="00DF77EB">
        <w:t>dependencies included</w:t>
      </w:r>
      <w:r w:rsidR="00931E04" w:rsidRPr="00DF77EB">
        <w:t xml:space="preserve"> community support;</w:t>
      </w:r>
      <w:r w:rsidRPr="00DF77EB">
        <w:t xml:space="preserve"> </w:t>
      </w:r>
      <w:r w:rsidR="00931E04" w:rsidRPr="00DF77EB">
        <w:t>access to services (on a 20 Minute Neighbourhood basis); protection of the natural environment;</w:t>
      </w:r>
      <w:r w:rsidR="003F5239" w:rsidRPr="00DF77EB">
        <w:t xml:space="preserve"> and mechanisms such </w:t>
      </w:r>
      <w:r w:rsidR="00931E04" w:rsidRPr="00DF77EB">
        <w:t>land value capture</w:t>
      </w:r>
      <w:r w:rsidR="003F5239" w:rsidRPr="00DF77EB">
        <w:t>.</w:t>
      </w:r>
      <w:r w:rsidR="00D41872">
        <w:t xml:space="preserve"> Several respondents suggested further consultation was needed.</w:t>
      </w:r>
    </w:p>
    <w:p w14:paraId="14A4E763" w14:textId="77777777" w:rsidR="003F5239" w:rsidRDefault="003F5239" w:rsidP="00514A66">
      <w:pPr>
        <w:pStyle w:val="ListParagraph"/>
        <w:ind w:hanging="993"/>
        <w:rPr>
          <w:rFonts w:cstheme="minorHAnsi"/>
        </w:rPr>
      </w:pPr>
    </w:p>
    <w:tbl>
      <w:tblPr>
        <w:tblStyle w:val="TableGrid"/>
        <w:tblW w:w="0" w:type="auto"/>
        <w:tblInd w:w="-147" w:type="dxa"/>
        <w:tblLook w:val="04A0" w:firstRow="1" w:lastRow="0" w:firstColumn="1" w:lastColumn="0" w:noHBand="0" w:noVBand="1"/>
      </w:tblPr>
      <w:tblGrid>
        <w:gridCol w:w="9163"/>
      </w:tblGrid>
      <w:tr w:rsidR="000C5AF3" w14:paraId="74C4226E" w14:textId="77777777" w:rsidTr="003F1CE0">
        <w:tc>
          <w:tcPr>
            <w:tcW w:w="9163" w:type="dxa"/>
            <w:shd w:val="clear" w:color="auto" w:fill="D9D9D9" w:themeFill="background1" w:themeFillShade="D9"/>
          </w:tcPr>
          <w:p w14:paraId="5A511CA1" w14:textId="1D803CD4" w:rsidR="000C5AF3" w:rsidRPr="00514A66" w:rsidRDefault="000C5AF3" w:rsidP="008B6570">
            <w:pPr>
              <w:pStyle w:val="ListParagraph"/>
              <w:ind w:left="0"/>
              <w:jc w:val="center"/>
              <w:rPr>
                <w:b/>
                <w:bCs/>
              </w:rPr>
            </w:pPr>
            <w:r w:rsidRPr="00514A66">
              <w:rPr>
                <w:b/>
                <w:bCs/>
              </w:rPr>
              <w:t>Response</w:t>
            </w:r>
            <w:r>
              <w:rPr>
                <w:b/>
                <w:bCs/>
              </w:rPr>
              <w:t xml:space="preserve"> to views on dependencies for </w:t>
            </w:r>
            <w:r w:rsidRPr="000C5AF3">
              <w:rPr>
                <w:b/>
                <w:bCs/>
                <w:i/>
                <w:iCs/>
              </w:rPr>
              <w:t>Towards West Edinburgh 2050</w:t>
            </w:r>
          </w:p>
        </w:tc>
      </w:tr>
      <w:tr w:rsidR="000C5AF3" w14:paraId="2A8126AA" w14:textId="77777777" w:rsidTr="003F1CE0">
        <w:tc>
          <w:tcPr>
            <w:tcW w:w="9163" w:type="dxa"/>
          </w:tcPr>
          <w:p w14:paraId="2369BCEA" w14:textId="592E9BE2" w:rsidR="000C5AF3" w:rsidRPr="00804998" w:rsidRDefault="00804998" w:rsidP="003F1CE0">
            <w:pPr>
              <w:pStyle w:val="ListParagraph"/>
              <w:ind w:left="0"/>
              <w:jc w:val="both"/>
            </w:pPr>
            <w:r w:rsidRPr="00804998">
              <w:t>The Dependencies section has been removed from the final document.</w:t>
            </w:r>
          </w:p>
        </w:tc>
      </w:tr>
    </w:tbl>
    <w:p w14:paraId="7FDCF287" w14:textId="77777777" w:rsidR="000C5AF3" w:rsidRPr="00DF77EB" w:rsidRDefault="000C5AF3" w:rsidP="00514A66">
      <w:pPr>
        <w:pStyle w:val="ListParagraph"/>
        <w:ind w:hanging="993"/>
        <w:rPr>
          <w:rFonts w:cstheme="minorHAnsi"/>
        </w:rPr>
      </w:pPr>
    </w:p>
    <w:p w14:paraId="283632E7" w14:textId="14CE5934" w:rsidR="00EA257E" w:rsidRPr="00A35771" w:rsidRDefault="003F5239" w:rsidP="00514A66">
      <w:pPr>
        <w:pStyle w:val="ListParagraph"/>
        <w:numPr>
          <w:ilvl w:val="1"/>
          <w:numId w:val="37"/>
        </w:numPr>
        <w:tabs>
          <w:tab w:val="left" w:pos="851"/>
        </w:tabs>
        <w:ind w:left="851" w:hanging="993"/>
        <w:jc w:val="both"/>
        <w:rPr>
          <w:rFonts w:cstheme="minorHAnsi"/>
        </w:rPr>
      </w:pPr>
      <w:r w:rsidRPr="00DF77EB">
        <w:rPr>
          <w:rFonts w:cstheme="minorHAnsi"/>
        </w:rPr>
        <w:t xml:space="preserve">Respondents were </w:t>
      </w:r>
      <w:r w:rsidR="007F4CE9" w:rsidRPr="00DF77EB">
        <w:rPr>
          <w:rFonts w:cstheme="minorHAnsi"/>
        </w:rPr>
        <w:t>invited</w:t>
      </w:r>
      <w:r w:rsidRPr="00DF77EB">
        <w:rPr>
          <w:rFonts w:cstheme="minorHAnsi"/>
        </w:rPr>
        <w:t xml:space="preserve"> to offer any other </w:t>
      </w:r>
      <w:r w:rsidR="007F4CE9" w:rsidRPr="00DF77EB">
        <w:rPr>
          <w:rFonts w:cstheme="minorHAnsi"/>
        </w:rPr>
        <w:t>comments</w:t>
      </w:r>
      <w:r w:rsidRPr="00DF77EB">
        <w:rPr>
          <w:rFonts w:cstheme="minorHAnsi"/>
        </w:rPr>
        <w:t xml:space="preserve"> on </w:t>
      </w:r>
      <w:r w:rsidRPr="00DF77EB">
        <w:rPr>
          <w:rFonts w:cstheme="minorHAnsi"/>
          <w:i/>
          <w:iCs/>
        </w:rPr>
        <w:t xml:space="preserve">Towards West </w:t>
      </w:r>
      <w:r w:rsidR="007F4CE9" w:rsidRPr="00DF77EB">
        <w:rPr>
          <w:rFonts w:cstheme="minorHAnsi"/>
          <w:i/>
          <w:iCs/>
        </w:rPr>
        <w:t>Edinburgh</w:t>
      </w:r>
      <w:r w:rsidRPr="00DF77EB">
        <w:rPr>
          <w:rFonts w:cstheme="minorHAnsi"/>
          <w:i/>
          <w:iCs/>
        </w:rPr>
        <w:t xml:space="preserve"> 2050</w:t>
      </w:r>
      <w:r w:rsidR="007F4CE9" w:rsidRPr="00DF77EB">
        <w:rPr>
          <w:rFonts w:cstheme="minorHAnsi"/>
        </w:rPr>
        <w:t xml:space="preserve">. </w:t>
      </w:r>
      <w:r w:rsidR="00945B0F" w:rsidRPr="00DF77EB">
        <w:t>This question attracted an</w:t>
      </w:r>
      <w:r w:rsidR="007F4CE9" w:rsidRPr="00DF77EB">
        <w:t xml:space="preserve"> </w:t>
      </w:r>
      <w:r w:rsidR="00945B0F" w:rsidRPr="00DF77EB">
        <w:t>extr</w:t>
      </w:r>
      <w:r w:rsidR="007F4CE9" w:rsidRPr="00DF77EB">
        <w:t>e</w:t>
      </w:r>
      <w:r w:rsidR="00945B0F" w:rsidRPr="00DF77EB">
        <w:t>mely widely range of comments</w:t>
      </w:r>
      <w:r w:rsidR="007F4CE9" w:rsidRPr="00DF77EB">
        <w:t xml:space="preserve">. </w:t>
      </w:r>
      <w:r w:rsidR="00EA257E" w:rsidRPr="00DF77EB">
        <w:t>Views</w:t>
      </w:r>
      <w:r w:rsidR="00945B0F" w:rsidRPr="00DF77EB">
        <w:t xml:space="preserve"> </w:t>
      </w:r>
      <w:r w:rsidR="00EA257E" w:rsidRPr="00DF77EB">
        <w:t>expressed</w:t>
      </w:r>
      <w:r w:rsidR="00945B0F" w:rsidRPr="00DF77EB">
        <w:t xml:space="preserve"> incl</w:t>
      </w:r>
      <w:r w:rsidR="007F4CE9" w:rsidRPr="00DF77EB">
        <w:t>u</w:t>
      </w:r>
      <w:r w:rsidR="00945B0F" w:rsidRPr="00DF77EB">
        <w:t xml:space="preserve">ded </w:t>
      </w:r>
      <w:r w:rsidR="00EA257E" w:rsidRPr="00DF77EB">
        <w:t>a general opposition to further development in Wes</w:t>
      </w:r>
      <w:r w:rsidR="007F4CE9" w:rsidRPr="00DF77EB">
        <w:t>t</w:t>
      </w:r>
      <w:r w:rsidR="00EA257E" w:rsidRPr="00DF77EB">
        <w:t xml:space="preserve"> Edinburgh; an opposition to 20 Minute </w:t>
      </w:r>
      <w:r w:rsidR="004065EC" w:rsidRPr="00DF77EB">
        <w:t>Neighbourhoods</w:t>
      </w:r>
      <w:r w:rsidR="00EA257E" w:rsidRPr="00DF77EB">
        <w:t xml:space="preserve"> / low tr</w:t>
      </w:r>
      <w:r w:rsidR="004065EC" w:rsidRPr="00DF77EB">
        <w:t>a</w:t>
      </w:r>
      <w:r w:rsidR="00EA257E" w:rsidRPr="00DF77EB">
        <w:t xml:space="preserve">ffic </w:t>
      </w:r>
      <w:r w:rsidR="004065EC" w:rsidRPr="00DF77EB">
        <w:t>neighbourhoods</w:t>
      </w:r>
      <w:r w:rsidR="00D41872">
        <w:t xml:space="preserve"> / “</w:t>
      </w:r>
      <w:proofErr w:type="gramStart"/>
      <w:r w:rsidR="00D41872">
        <w:t>15 minute</w:t>
      </w:r>
      <w:proofErr w:type="gramEnd"/>
      <w:r w:rsidR="00D41872">
        <w:t xml:space="preserve"> cities”</w:t>
      </w:r>
      <w:r w:rsidR="004065EC" w:rsidRPr="00DF77EB">
        <w:t>; and support for an i</w:t>
      </w:r>
      <w:r w:rsidR="002D7317" w:rsidRPr="00DF77EB">
        <w:t>nfrastr</w:t>
      </w:r>
      <w:r w:rsidR="004065EC" w:rsidRPr="00DF77EB">
        <w:t>u</w:t>
      </w:r>
      <w:r w:rsidR="002D7317" w:rsidRPr="00DF77EB">
        <w:t>ctu</w:t>
      </w:r>
      <w:r w:rsidR="004065EC" w:rsidRPr="00DF77EB">
        <w:t>r</w:t>
      </w:r>
      <w:r w:rsidR="002D7317" w:rsidRPr="00DF77EB">
        <w:t>e</w:t>
      </w:r>
      <w:r w:rsidR="004065EC" w:rsidRPr="00DF77EB">
        <w:t>-</w:t>
      </w:r>
      <w:r w:rsidR="002D7317" w:rsidRPr="00DF77EB">
        <w:t>first approac</w:t>
      </w:r>
      <w:r w:rsidR="004065EC" w:rsidRPr="00DF77EB">
        <w:t xml:space="preserve">h. The definition of West Edinburgh was queried. It was queried whether a Strategic Environmental Assessment would be needed for </w:t>
      </w:r>
      <w:r w:rsidR="004065EC" w:rsidRPr="00DF77EB">
        <w:rPr>
          <w:rFonts w:cstheme="minorHAnsi"/>
          <w:i/>
          <w:iCs/>
        </w:rPr>
        <w:t>Towards West Edinburgh 2050</w:t>
      </w:r>
      <w:r w:rsidR="004065EC" w:rsidRPr="00DF77EB">
        <w:rPr>
          <w:rFonts w:cstheme="minorHAnsi"/>
        </w:rPr>
        <w:t>.</w:t>
      </w:r>
      <w:r w:rsidR="00DF77EB">
        <w:rPr>
          <w:rFonts w:cstheme="minorHAnsi"/>
        </w:rPr>
        <w:t xml:space="preserve"> Specific </w:t>
      </w:r>
      <w:r w:rsidR="00DF77EB" w:rsidRPr="00A35771">
        <w:rPr>
          <w:rFonts w:cstheme="minorHAnsi"/>
        </w:rPr>
        <w:t>recommendations included:</w:t>
      </w:r>
    </w:p>
    <w:p w14:paraId="590E0ACD" w14:textId="77777777" w:rsidR="002D7317" w:rsidRPr="00A35771" w:rsidRDefault="002D7317" w:rsidP="00F06B21">
      <w:pPr>
        <w:pStyle w:val="ListParagraph"/>
        <w:ind w:left="360"/>
        <w:jc w:val="both"/>
        <w:rPr>
          <w:b/>
          <w:bCs/>
        </w:rPr>
      </w:pPr>
    </w:p>
    <w:p w14:paraId="758ACE21" w14:textId="6D849B3E" w:rsidR="00EA257E" w:rsidRPr="00A35771" w:rsidRDefault="00DF77EB" w:rsidP="00DF77EB">
      <w:pPr>
        <w:pStyle w:val="ListParagraph"/>
        <w:numPr>
          <w:ilvl w:val="0"/>
          <w:numId w:val="39"/>
        </w:numPr>
        <w:jc w:val="both"/>
      </w:pPr>
      <w:r w:rsidRPr="00A35771">
        <w:t xml:space="preserve">Producing a </w:t>
      </w:r>
      <w:r w:rsidR="00EA257E" w:rsidRPr="00A35771">
        <w:t>localised</w:t>
      </w:r>
      <w:r w:rsidRPr="00A35771">
        <w:t xml:space="preserve"> </w:t>
      </w:r>
      <w:r w:rsidR="00EA257E" w:rsidRPr="00A35771">
        <w:t xml:space="preserve">strategy for </w:t>
      </w:r>
      <w:r w:rsidRPr="00A35771">
        <w:t>South Q</w:t>
      </w:r>
      <w:r w:rsidR="00EA257E" w:rsidRPr="00A35771">
        <w:t>ueensferry.</w:t>
      </w:r>
    </w:p>
    <w:p w14:paraId="45BD1BBB" w14:textId="5CB3E0F4" w:rsidR="00894C2E" w:rsidRPr="00A35771" w:rsidRDefault="00894C2E" w:rsidP="00DF77EB">
      <w:pPr>
        <w:pStyle w:val="ListParagraph"/>
        <w:numPr>
          <w:ilvl w:val="0"/>
          <w:numId w:val="39"/>
        </w:numPr>
        <w:jc w:val="both"/>
      </w:pPr>
      <w:r w:rsidRPr="00A35771">
        <w:t xml:space="preserve">Providing clarity on the legislative status of </w:t>
      </w:r>
      <w:r w:rsidRPr="00A35771">
        <w:rPr>
          <w:rFonts w:cstheme="minorHAnsi"/>
          <w:i/>
          <w:iCs/>
        </w:rPr>
        <w:t>Towards West Edinburgh 2050</w:t>
      </w:r>
      <w:r w:rsidR="002F5CC7">
        <w:rPr>
          <w:rFonts w:cstheme="minorHAnsi"/>
          <w:i/>
          <w:iCs/>
        </w:rPr>
        <w:t xml:space="preserve"> </w:t>
      </w:r>
      <w:r w:rsidR="002F5CC7" w:rsidRPr="002F5CC7">
        <w:rPr>
          <w:rFonts w:cstheme="minorHAnsi"/>
        </w:rPr>
        <w:t>and i</w:t>
      </w:r>
      <w:r w:rsidR="002F5CC7">
        <w:rPr>
          <w:rFonts w:cstheme="minorHAnsi"/>
        </w:rPr>
        <w:t>t</w:t>
      </w:r>
      <w:r w:rsidR="002F5CC7" w:rsidRPr="002F5CC7">
        <w:rPr>
          <w:rFonts w:cstheme="minorHAnsi"/>
        </w:rPr>
        <w:t>s alignment with City Plan 2030</w:t>
      </w:r>
      <w:r w:rsidRPr="002F5CC7">
        <w:rPr>
          <w:rFonts w:cstheme="minorHAnsi"/>
        </w:rPr>
        <w:t>.</w:t>
      </w:r>
    </w:p>
    <w:p w14:paraId="469095CD" w14:textId="4138A27F" w:rsidR="00894C2E" w:rsidRPr="00A35771" w:rsidRDefault="00DF77EB" w:rsidP="00DF77EB">
      <w:pPr>
        <w:pStyle w:val="ListParagraph"/>
        <w:numPr>
          <w:ilvl w:val="0"/>
          <w:numId w:val="39"/>
        </w:numPr>
        <w:jc w:val="both"/>
      </w:pPr>
      <w:r w:rsidRPr="00A35771">
        <w:t xml:space="preserve">Alignment with the </w:t>
      </w:r>
      <w:r w:rsidR="002D7317" w:rsidRPr="00A35771">
        <w:t>SEStran R</w:t>
      </w:r>
      <w:r w:rsidRPr="00A35771">
        <w:t xml:space="preserve">egional </w:t>
      </w:r>
      <w:r w:rsidR="002D7317" w:rsidRPr="00A35771">
        <w:t>T</w:t>
      </w:r>
      <w:r w:rsidRPr="00A35771">
        <w:t xml:space="preserve">ransport </w:t>
      </w:r>
      <w:r w:rsidR="002D7317" w:rsidRPr="00A35771">
        <w:t>S</w:t>
      </w:r>
      <w:r w:rsidRPr="00A35771">
        <w:t>trategy</w:t>
      </w:r>
      <w:r w:rsidR="002D7317" w:rsidRPr="00A35771">
        <w:t xml:space="preserve"> including provision for freight consolidation hubs</w:t>
      </w:r>
      <w:r w:rsidR="00894C2E" w:rsidRPr="00A35771">
        <w:t xml:space="preserve"> / a regional distribution hub</w:t>
      </w:r>
      <w:r w:rsidR="002D7317" w:rsidRPr="00A35771">
        <w:t>.</w:t>
      </w:r>
    </w:p>
    <w:p w14:paraId="2BFF6B82" w14:textId="1491B4A4" w:rsidR="00894C2E" w:rsidRPr="00A35771" w:rsidRDefault="00894C2E" w:rsidP="00DF77EB">
      <w:pPr>
        <w:pStyle w:val="ListParagraph"/>
        <w:numPr>
          <w:ilvl w:val="0"/>
          <w:numId w:val="39"/>
        </w:numPr>
        <w:jc w:val="both"/>
      </w:pPr>
      <w:r w:rsidRPr="00A35771">
        <w:t xml:space="preserve">Alignment with the Edinburgh and </w:t>
      </w:r>
      <w:proofErr w:type="gramStart"/>
      <w:r w:rsidRPr="00A35771">
        <w:t>South East</w:t>
      </w:r>
      <w:proofErr w:type="gramEnd"/>
      <w:r w:rsidRPr="00A35771">
        <w:t xml:space="preserve"> Scotland City Regional Deal Regional Prosperity Framework around infrastructure.</w:t>
      </w:r>
    </w:p>
    <w:p w14:paraId="293E59BA" w14:textId="7209E415" w:rsidR="002D7317" w:rsidRPr="00A35771" w:rsidRDefault="00894C2E" w:rsidP="00894C2E">
      <w:pPr>
        <w:pStyle w:val="ListParagraph"/>
        <w:numPr>
          <w:ilvl w:val="0"/>
          <w:numId w:val="39"/>
        </w:numPr>
        <w:jc w:val="both"/>
      </w:pPr>
      <w:r w:rsidRPr="00A35771">
        <w:t>P</w:t>
      </w:r>
      <w:r w:rsidR="002D7317" w:rsidRPr="00A35771">
        <w:t>rovision for serviced land growth provision</w:t>
      </w:r>
      <w:r w:rsidRPr="00A35771">
        <w:t xml:space="preserve"> </w:t>
      </w:r>
      <w:r w:rsidR="002D7317" w:rsidRPr="00A35771">
        <w:t>at/</w:t>
      </w:r>
      <w:r w:rsidRPr="00A35771">
        <w:t>near</w:t>
      </w:r>
      <w:r w:rsidR="002D7317" w:rsidRPr="00A35771">
        <w:t xml:space="preserve"> Ed</w:t>
      </w:r>
      <w:r w:rsidRPr="00A35771">
        <w:t>inburgh</w:t>
      </w:r>
      <w:r w:rsidR="002D7317" w:rsidRPr="00A35771">
        <w:t xml:space="preserve"> Airport</w:t>
      </w:r>
      <w:r w:rsidRPr="00A35771">
        <w:t xml:space="preserve">, </w:t>
      </w:r>
      <w:proofErr w:type="gramStart"/>
      <w:r w:rsidRPr="00A35771">
        <w:t>making reference</w:t>
      </w:r>
      <w:proofErr w:type="gramEnd"/>
      <w:r w:rsidRPr="00A35771">
        <w:t xml:space="preserve"> to the inclusion of Edinburgh Airport in the Forth Green Freeport.</w:t>
      </w:r>
    </w:p>
    <w:p w14:paraId="3F39D4A0" w14:textId="3774A71A" w:rsidR="00894C2E" w:rsidRPr="00A35771" w:rsidRDefault="00894C2E" w:rsidP="00894C2E">
      <w:pPr>
        <w:pStyle w:val="ListParagraph"/>
        <w:numPr>
          <w:ilvl w:val="0"/>
          <w:numId w:val="39"/>
        </w:numPr>
        <w:jc w:val="both"/>
      </w:pPr>
      <w:r w:rsidRPr="00A35771">
        <w:t>Consideration of data infrastructure.</w:t>
      </w:r>
    </w:p>
    <w:p w14:paraId="152F2274" w14:textId="31C7566C" w:rsidR="00894C2E" w:rsidRPr="00A35771" w:rsidRDefault="00894C2E" w:rsidP="00894C2E">
      <w:pPr>
        <w:pStyle w:val="ListParagraph"/>
        <w:numPr>
          <w:ilvl w:val="0"/>
          <w:numId w:val="39"/>
        </w:numPr>
        <w:jc w:val="both"/>
      </w:pPr>
      <w:r w:rsidRPr="00A35771">
        <w:lastRenderedPageBreak/>
        <w:t>Recognition of the importance of West Edinburgh as a corridor for the movement of people and goods, including northward to Fife and westward to Glasgow.</w:t>
      </w:r>
    </w:p>
    <w:p w14:paraId="21A78853" w14:textId="0B852004" w:rsidR="002D7317" w:rsidRPr="00A35771" w:rsidRDefault="00894C2E" w:rsidP="00894C2E">
      <w:pPr>
        <w:pStyle w:val="ListParagraph"/>
        <w:numPr>
          <w:ilvl w:val="0"/>
          <w:numId w:val="39"/>
        </w:numPr>
        <w:jc w:val="both"/>
      </w:pPr>
      <w:r w:rsidRPr="00A35771">
        <w:t>Reflection of the Transport Scotland proposal to extend mass rapid transit to Dunfermline (as referenced in Strategic Transport Projects Review 2).</w:t>
      </w:r>
    </w:p>
    <w:p w14:paraId="2159EA5F" w14:textId="77777777" w:rsidR="00B303B0" w:rsidRPr="00B303B0" w:rsidRDefault="00894C2E" w:rsidP="00B303B0">
      <w:pPr>
        <w:pStyle w:val="ListParagraph"/>
        <w:numPr>
          <w:ilvl w:val="0"/>
          <w:numId w:val="39"/>
        </w:numPr>
        <w:jc w:val="both"/>
      </w:pPr>
      <w:r w:rsidRPr="00A35771">
        <w:t xml:space="preserve">Amending the diagram on page 13 showing </w:t>
      </w:r>
      <w:r w:rsidR="002D7317" w:rsidRPr="00A35771">
        <w:t>enhanced access and routes along the Forth coast</w:t>
      </w:r>
      <w:r w:rsidR="00A35771" w:rsidRPr="00A35771">
        <w:t>, which were not thought</w:t>
      </w:r>
      <w:r w:rsidR="002D7317" w:rsidRPr="00A35771">
        <w:t xml:space="preserve"> </w:t>
      </w:r>
      <w:r w:rsidR="00A35771" w:rsidRPr="00A35771">
        <w:t>to</w:t>
      </w:r>
      <w:r w:rsidR="002D7317" w:rsidRPr="00A35771">
        <w:t xml:space="preserve"> reflect current </w:t>
      </w:r>
      <w:r w:rsidR="002D7317" w:rsidRPr="00B303B0">
        <w:t xml:space="preserve">or likely future movement corridors. </w:t>
      </w:r>
    </w:p>
    <w:p w14:paraId="3B429B35" w14:textId="0D0EF9E9" w:rsidR="00B303B0" w:rsidRPr="00B303B0" w:rsidRDefault="00B303B0" w:rsidP="00B303B0">
      <w:pPr>
        <w:pStyle w:val="ListParagraph"/>
        <w:numPr>
          <w:ilvl w:val="0"/>
          <w:numId w:val="39"/>
        </w:numPr>
        <w:jc w:val="both"/>
      </w:pPr>
      <w:r w:rsidRPr="00B303B0">
        <w:t>Improving cycle infrastructure along the A8/A89 corridor, including improving crossings at the Ingliston junction and Maybury roundabout.</w:t>
      </w:r>
    </w:p>
    <w:p w14:paraId="5BE8D241" w14:textId="77777777" w:rsidR="00B303B0" w:rsidRDefault="00B303B0" w:rsidP="00F06B21">
      <w:pPr>
        <w:pStyle w:val="ListParagraph"/>
        <w:ind w:left="360"/>
        <w:jc w:val="both"/>
        <w:rPr>
          <w:b/>
          <w:bCs/>
        </w:rPr>
      </w:pPr>
    </w:p>
    <w:tbl>
      <w:tblPr>
        <w:tblStyle w:val="TableGrid"/>
        <w:tblW w:w="0" w:type="auto"/>
        <w:tblInd w:w="-147" w:type="dxa"/>
        <w:tblLook w:val="04A0" w:firstRow="1" w:lastRow="0" w:firstColumn="1" w:lastColumn="0" w:noHBand="0" w:noVBand="1"/>
      </w:tblPr>
      <w:tblGrid>
        <w:gridCol w:w="9163"/>
      </w:tblGrid>
      <w:tr w:rsidR="008B6570" w14:paraId="69A03746" w14:textId="77777777" w:rsidTr="003F1CE0">
        <w:tc>
          <w:tcPr>
            <w:tcW w:w="9163" w:type="dxa"/>
            <w:shd w:val="clear" w:color="auto" w:fill="D9D9D9" w:themeFill="background1" w:themeFillShade="D9"/>
          </w:tcPr>
          <w:p w14:paraId="370F864E" w14:textId="3BD1D2C9" w:rsidR="008B6570" w:rsidRPr="00514A66" w:rsidRDefault="008B6570" w:rsidP="008B6570">
            <w:pPr>
              <w:pStyle w:val="ListParagraph"/>
              <w:ind w:left="0"/>
              <w:jc w:val="center"/>
              <w:rPr>
                <w:b/>
                <w:bCs/>
              </w:rPr>
            </w:pPr>
            <w:r w:rsidRPr="00514A66">
              <w:rPr>
                <w:b/>
                <w:bCs/>
              </w:rPr>
              <w:t>Response</w:t>
            </w:r>
            <w:r>
              <w:rPr>
                <w:b/>
                <w:bCs/>
              </w:rPr>
              <w:t xml:space="preserve"> to general comments on </w:t>
            </w:r>
            <w:r w:rsidRPr="008B6570">
              <w:rPr>
                <w:b/>
                <w:bCs/>
                <w:i/>
                <w:iCs/>
              </w:rPr>
              <w:t>Towards West Edinburgh 2050</w:t>
            </w:r>
          </w:p>
        </w:tc>
      </w:tr>
      <w:tr w:rsidR="008B6570" w14:paraId="2D5FEA85" w14:textId="77777777" w:rsidTr="003F1CE0">
        <w:tc>
          <w:tcPr>
            <w:tcW w:w="9163" w:type="dxa"/>
          </w:tcPr>
          <w:p w14:paraId="42756992" w14:textId="1C8B4B01" w:rsidR="008B6570" w:rsidRPr="00EF5F0B" w:rsidRDefault="00804998" w:rsidP="003F1CE0">
            <w:pPr>
              <w:pStyle w:val="ListParagraph"/>
              <w:ind w:left="0"/>
              <w:jc w:val="both"/>
            </w:pPr>
            <w:r w:rsidRPr="00EF5F0B">
              <w:t xml:space="preserve">The diagram </w:t>
            </w:r>
            <w:r w:rsidRPr="00EF5F0B">
              <w:t>under “</w:t>
            </w:r>
            <w:r w:rsidRPr="00EF5F0B">
              <w:t>Tackling inequality</w:t>
            </w:r>
            <w:r w:rsidRPr="00EF5F0B">
              <w:t>”</w:t>
            </w:r>
            <w:r w:rsidRPr="00EF5F0B">
              <w:t xml:space="preserve"> has been updated to include an orange circle indicating a potential Local Place Plan at South Queensferry.</w:t>
            </w:r>
            <w:r w:rsidR="00EF5F0B" w:rsidRPr="00EF5F0B">
              <w:t xml:space="preserve"> The role and status of </w:t>
            </w:r>
            <w:r w:rsidR="009975D7" w:rsidRPr="009975D7">
              <w:rPr>
                <w:i/>
                <w:iCs/>
              </w:rPr>
              <w:t>Towards West Edinburgh 20</w:t>
            </w:r>
            <w:r w:rsidR="009975D7">
              <w:rPr>
                <w:i/>
                <w:iCs/>
              </w:rPr>
              <w:t>50</w:t>
            </w:r>
            <w:r w:rsidR="00EF5F0B" w:rsidRPr="00EF5F0B">
              <w:t xml:space="preserve"> as a study has been clarified. The potential for freight consolidation hubs has been noted under “Connectivity”. “M</w:t>
            </w:r>
            <w:r w:rsidR="00EF5F0B" w:rsidRPr="00EF5F0B">
              <w:t>ovement of people and goods</w:t>
            </w:r>
            <w:r w:rsidR="00EF5F0B" w:rsidRPr="00EF5F0B">
              <w:t>” has been added under “Guiding Principles”. T</w:t>
            </w:r>
            <w:r w:rsidR="00EF5F0B" w:rsidRPr="00EF5F0B">
              <w:t xml:space="preserve">he </w:t>
            </w:r>
            <w:r w:rsidR="00EF5F0B" w:rsidRPr="00EF5F0B">
              <w:t>“</w:t>
            </w:r>
            <w:r w:rsidR="00EF5F0B" w:rsidRPr="00EF5F0B">
              <w:t>Connectivity</w:t>
            </w:r>
            <w:r w:rsidR="00EF5F0B" w:rsidRPr="00EF5F0B">
              <w:t>”</w:t>
            </w:r>
            <w:r w:rsidR="00EF5F0B" w:rsidRPr="00EF5F0B">
              <w:t xml:space="preserve"> diagram </w:t>
            </w:r>
            <w:r w:rsidR="00EF5F0B" w:rsidRPr="00EF5F0B">
              <w:t>and text have</w:t>
            </w:r>
            <w:r w:rsidR="00EF5F0B" w:rsidRPr="00EF5F0B">
              <w:t xml:space="preserve"> been updated to reflect the proposal from Transport Scotland for an enhanced MRT route to Dunfermline from West Edinburgh</w:t>
            </w:r>
            <w:r w:rsidR="00EF5F0B" w:rsidRPr="00EF5F0B">
              <w:t xml:space="preserve"> and to reflect potential active travel and crossing improvements along the</w:t>
            </w:r>
            <w:r w:rsidR="00EF5F0B" w:rsidRPr="00EF5F0B">
              <w:t xml:space="preserve"> A8 and A71 corridors.</w:t>
            </w:r>
          </w:p>
        </w:tc>
      </w:tr>
    </w:tbl>
    <w:p w14:paraId="76C32280" w14:textId="77777777" w:rsidR="008B6570" w:rsidRPr="00A35771" w:rsidRDefault="008B6570" w:rsidP="00F06B21">
      <w:pPr>
        <w:pStyle w:val="ListParagraph"/>
        <w:ind w:left="360"/>
        <w:jc w:val="both"/>
        <w:rPr>
          <w:b/>
          <w:bCs/>
        </w:rPr>
      </w:pPr>
    </w:p>
    <w:p w14:paraId="6846524C" w14:textId="47797667" w:rsidR="008179A7" w:rsidRPr="00A02ABF" w:rsidRDefault="00A02ABF" w:rsidP="00514A66">
      <w:pPr>
        <w:pStyle w:val="ListParagraph"/>
        <w:numPr>
          <w:ilvl w:val="1"/>
          <w:numId w:val="37"/>
        </w:numPr>
        <w:tabs>
          <w:tab w:val="left" w:pos="851"/>
        </w:tabs>
        <w:ind w:left="851" w:hanging="851"/>
        <w:jc w:val="both"/>
        <w:rPr>
          <w:rFonts w:cstheme="minorHAnsi"/>
        </w:rPr>
      </w:pPr>
      <w:r w:rsidRPr="00A35771">
        <w:rPr>
          <w:rFonts w:cstheme="minorHAnsi"/>
        </w:rPr>
        <w:t>Finally, r</w:t>
      </w:r>
      <w:r w:rsidR="008179A7" w:rsidRPr="00A35771">
        <w:rPr>
          <w:rFonts w:cstheme="minorHAnsi"/>
        </w:rPr>
        <w:t xml:space="preserve">espondents were asked </w:t>
      </w:r>
      <w:r w:rsidRPr="00A35771">
        <w:rPr>
          <w:rFonts w:cstheme="minorHAnsi"/>
        </w:rPr>
        <w:t>about their experience of the consultation process for</w:t>
      </w:r>
      <w:r w:rsidR="008179A7" w:rsidRPr="00A35771">
        <w:rPr>
          <w:rFonts w:cstheme="minorHAnsi"/>
        </w:rPr>
        <w:t xml:space="preserve"> </w:t>
      </w:r>
      <w:r w:rsidR="008179A7" w:rsidRPr="00A35771">
        <w:rPr>
          <w:rFonts w:cstheme="minorHAnsi"/>
          <w:i/>
          <w:iCs/>
        </w:rPr>
        <w:t>Towards West Edinburgh</w:t>
      </w:r>
      <w:r w:rsidR="008179A7" w:rsidRPr="00A02ABF">
        <w:rPr>
          <w:rFonts w:cstheme="minorHAnsi"/>
          <w:i/>
          <w:iCs/>
        </w:rPr>
        <w:t xml:space="preserve"> 2050</w:t>
      </w:r>
      <w:r w:rsidR="008179A7" w:rsidRPr="00A02ABF">
        <w:rPr>
          <w:rFonts w:cstheme="minorHAnsi"/>
        </w:rPr>
        <w:t>.</w:t>
      </w:r>
    </w:p>
    <w:p w14:paraId="6CD024BE" w14:textId="77777777" w:rsidR="008179A7" w:rsidRPr="008179A7" w:rsidRDefault="008179A7" w:rsidP="008179A7">
      <w:pPr>
        <w:pStyle w:val="ListParagraph"/>
        <w:rPr>
          <w:rFonts w:cstheme="minorHAnsi"/>
          <w:color w:val="FF0000"/>
        </w:rPr>
      </w:pPr>
    </w:p>
    <w:tbl>
      <w:tblPr>
        <w:tblStyle w:val="TableGrid"/>
        <w:tblW w:w="0" w:type="auto"/>
        <w:tblInd w:w="-147" w:type="dxa"/>
        <w:tblLook w:val="04A0" w:firstRow="1" w:lastRow="0" w:firstColumn="1" w:lastColumn="0" w:noHBand="0" w:noVBand="1"/>
      </w:tblPr>
      <w:tblGrid>
        <w:gridCol w:w="4390"/>
        <w:gridCol w:w="850"/>
        <w:gridCol w:w="714"/>
        <w:gridCol w:w="917"/>
        <w:gridCol w:w="764"/>
        <w:gridCol w:w="764"/>
        <w:gridCol w:w="764"/>
      </w:tblGrid>
      <w:tr w:rsidR="008179A7" w:rsidRPr="008179A7" w14:paraId="72DAA071" w14:textId="77777777" w:rsidTr="00E001C6">
        <w:trPr>
          <w:cantSplit/>
          <w:trHeight w:val="1134"/>
        </w:trPr>
        <w:tc>
          <w:tcPr>
            <w:tcW w:w="4390" w:type="dxa"/>
            <w:shd w:val="clear" w:color="auto" w:fill="D9D9D9" w:themeFill="background1" w:themeFillShade="D9"/>
            <w:vAlign w:val="center"/>
          </w:tcPr>
          <w:p w14:paraId="081E915A" w14:textId="7CBD8AC3" w:rsidR="008179A7" w:rsidRPr="00192356" w:rsidRDefault="008179A7" w:rsidP="00E001C6">
            <w:pPr>
              <w:pStyle w:val="ListParagraph"/>
              <w:ind w:left="0"/>
              <w:jc w:val="center"/>
              <w:rPr>
                <w:rFonts w:cstheme="minorHAnsi"/>
                <w:b/>
                <w:bCs/>
                <w:sz w:val="20"/>
                <w:szCs w:val="20"/>
              </w:rPr>
            </w:pPr>
            <w:r w:rsidRPr="00192356">
              <w:rPr>
                <w:rFonts w:cstheme="minorHAnsi"/>
                <w:b/>
                <w:bCs/>
                <w:sz w:val="20"/>
                <w:szCs w:val="20"/>
              </w:rPr>
              <w:t>Statement</w:t>
            </w:r>
            <w:r w:rsidR="008B6570">
              <w:rPr>
                <w:rFonts w:cstheme="minorHAnsi"/>
                <w:b/>
                <w:bCs/>
                <w:sz w:val="20"/>
                <w:szCs w:val="20"/>
              </w:rPr>
              <w:t xml:space="preserve"> on consultation process</w:t>
            </w:r>
          </w:p>
        </w:tc>
        <w:tc>
          <w:tcPr>
            <w:tcW w:w="850" w:type="dxa"/>
            <w:shd w:val="clear" w:color="auto" w:fill="D9D9D9" w:themeFill="background1" w:themeFillShade="D9"/>
            <w:textDirection w:val="btLr"/>
            <w:vAlign w:val="center"/>
          </w:tcPr>
          <w:p w14:paraId="17BAD4C8" w14:textId="77777777" w:rsidR="008179A7" w:rsidRPr="00192356" w:rsidRDefault="008179A7" w:rsidP="00E001C6">
            <w:pPr>
              <w:pStyle w:val="ListParagraph"/>
              <w:ind w:left="113" w:right="113"/>
              <w:jc w:val="center"/>
              <w:rPr>
                <w:rFonts w:cstheme="minorHAnsi"/>
                <w:b/>
                <w:bCs/>
                <w:sz w:val="20"/>
                <w:szCs w:val="20"/>
              </w:rPr>
            </w:pPr>
            <w:r w:rsidRPr="00192356">
              <w:rPr>
                <w:rFonts w:cstheme="minorHAnsi"/>
                <w:b/>
                <w:bCs/>
                <w:sz w:val="20"/>
                <w:szCs w:val="20"/>
              </w:rPr>
              <w:t>Strongly agree</w:t>
            </w:r>
          </w:p>
        </w:tc>
        <w:tc>
          <w:tcPr>
            <w:tcW w:w="714" w:type="dxa"/>
            <w:shd w:val="clear" w:color="auto" w:fill="D9D9D9" w:themeFill="background1" w:themeFillShade="D9"/>
            <w:textDirection w:val="btLr"/>
            <w:vAlign w:val="center"/>
          </w:tcPr>
          <w:p w14:paraId="7581C123" w14:textId="77777777" w:rsidR="008179A7" w:rsidRPr="00192356" w:rsidRDefault="008179A7" w:rsidP="00E001C6">
            <w:pPr>
              <w:pStyle w:val="ListParagraph"/>
              <w:ind w:left="113" w:right="113"/>
              <w:jc w:val="center"/>
              <w:rPr>
                <w:rFonts w:cstheme="minorHAnsi"/>
                <w:b/>
                <w:bCs/>
                <w:sz w:val="20"/>
                <w:szCs w:val="20"/>
              </w:rPr>
            </w:pPr>
            <w:r w:rsidRPr="00192356">
              <w:rPr>
                <w:rFonts w:cstheme="minorHAnsi"/>
                <w:b/>
                <w:bCs/>
                <w:sz w:val="20"/>
                <w:szCs w:val="20"/>
              </w:rPr>
              <w:t>Agree</w:t>
            </w:r>
          </w:p>
        </w:tc>
        <w:tc>
          <w:tcPr>
            <w:tcW w:w="917" w:type="dxa"/>
            <w:shd w:val="clear" w:color="auto" w:fill="D9D9D9" w:themeFill="background1" w:themeFillShade="D9"/>
            <w:textDirection w:val="btLr"/>
            <w:vAlign w:val="center"/>
          </w:tcPr>
          <w:p w14:paraId="0DDB5CAB" w14:textId="77777777" w:rsidR="008179A7" w:rsidRPr="00192356" w:rsidRDefault="008179A7" w:rsidP="00E001C6">
            <w:pPr>
              <w:pStyle w:val="ListParagraph"/>
              <w:ind w:left="113" w:right="113"/>
              <w:jc w:val="center"/>
              <w:rPr>
                <w:rFonts w:cstheme="minorHAnsi"/>
                <w:b/>
                <w:bCs/>
                <w:sz w:val="20"/>
                <w:szCs w:val="20"/>
              </w:rPr>
            </w:pPr>
            <w:r w:rsidRPr="00192356">
              <w:rPr>
                <w:rFonts w:cstheme="minorHAnsi"/>
                <w:b/>
                <w:bCs/>
                <w:sz w:val="20"/>
                <w:szCs w:val="20"/>
              </w:rPr>
              <w:t>Neither agree nor disagree</w:t>
            </w:r>
          </w:p>
        </w:tc>
        <w:tc>
          <w:tcPr>
            <w:tcW w:w="764" w:type="dxa"/>
            <w:shd w:val="clear" w:color="auto" w:fill="D9D9D9" w:themeFill="background1" w:themeFillShade="D9"/>
            <w:textDirection w:val="btLr"/>
            <w:vAlign w:val="center"/>
          </w:tcPr>
          <w:p w14:paraId="337ED6D3" w14:textId="77777777" w:rsidR="008179A7" w:rsidRPr="00192356" w:rsidRDefault="008179A7" w:rsidP="00E001C6">
            <w:pPr>
              <w:pStyle w:val="ListParagraph"/>
              <w:ind w:left="113" w:right="113"/>
              <w:jc w:val="center"/>
              <w:rPr>
                <w:rFonts w:cstheme="minorHAnsi"/>
                <w:b/>
                <w:bCs/>
                <w:sz w:val="20"/>
                <w:szCs w:val="20"/>
              </w:rPr>
            </w:pPr>
            <w:r w:rsidRPr="00192356">
              <w:rPr>
                <w:rFonts w:cstheme="minorHAnsi"/>
                <w:b/>
                <w:bCs/>
                <w:sz w:val="20"/>
                <w:szCs w:val="20"/>
              </w:rPr>
              <w:t>Disagree</w:t>
            </w:r>
          </w:p>
        </w:tc>
        <w:tc>
          <w:tcPr>
            <w:tcW w:w="764" w:type="dxa"/>
            <w:shd w:val="clear" w:color="auto" w:fill="D9D9D9" w:themeFill="background1" w:themeFillShade="D9"/>
            <w:textDirection w:val="btLr"/>
            <w:vAlign w:val="center"/>
          </w:tcPr>
          <w:p w14:paraId="24043A2A" w14:textId="77777777" w:rsidR="008179A7" w:rsidRPr="00192356" w:rsidRDefault="008179A7" w:rsidP="00E001C6">
            <w:pPr>
              <w:pStyle w:val="ListParagraph"/>
              <w:ind w:left="113" w:right="113"/>
              <w:jc w:val="center"/>
              <w:rPr>
                <w:rFonts w:cstheme="minorHAnsi"/>
                <w:b/>
                <w:bCs/>
                <w:sz w:val="20"/>
                <w:szCs w:val="20"/>
              </w:rPr>
            </w:pPr>
            <w:r w:rsidRPr="00192356">
              <w:rPr>
                <w:rFonts w:cstheme="minorHAnsi"/>
                <w:b/>
                <w:bCs/>
                <w:sz w:val="20"/>
                <w:szCs w:val="20"/>
              </w:rPr>
              <w:t>Strongly disagree</w:t>
            </w:r>
          </w:p>
        </w:tc>
        <w:tc>
          <w:tcPr>
            <w:tcW w:w="764" w:type="dxa"/>
            <w:shd w:val="clear" w:color="auto" w:fill="D9D9D9" w:themeFill="background1" w:themeFillShade="D9"/>
            <w:textDirection w:val="btLr"/>
            <w:vAlign w:val="center"/>
          </w:tcPr>
          <w:p w14:paraId="51382B1C" w14:textId="77777777" w:rsidR="008179A7" w:rsidRPr="00192356" w:rsidRDefault="008179A7" w:rsidP="00E001C6">
            <w:pPr>
              <w:pStyle w:val="ListParagraph"/>
              <w:ind w:left="113" w:right="113"/>
              <w:jc w:val="center"/>
              <w:rPr>
                <w:rFonts w:cstheme="minorHAnsi"/>
                <w:b/>
                <w:bCs/>
                <w:sz w:val="20"/>
                <w:szCs w:val="20"/>
              </w:rPr>
            </w:pPr>
            <w:r w:rsidRPr="00192356">
              <w:rPr>
                <w:rFonts w:cstheme="minorHAnsi"/>
                <w:b/>
                <w:bCs/>
                <w:sz w:val="20"/>
                <w:szCs w:val="20"/>
              </w:rPr>
              <w:t>Not answered</w:t>
            </w:r>
          </w:p>
        </w:tc>
      </w:tr>
      <w:tr w:rsidR="00192356" w:rsidRPr="008179A7" w14:paraId="0AD007FA" w14:textId="77777777" w:rsidTr="00571741">
        <w:tc>
          <w:tcPr>
            <w:tcW w:w="4390" w:type="dxa"/>
          </w:tcPr>
          <w:p w14:paraId="484A15FF" w14:textId="7C8F0DB3" w:rsidR="00192356" w:rsidRPr="00192356" w:rsidRDefault="00192356" w:rsidP="00192356">
            <w:pPr>
              <w:jc w:val="both"/>
              <w:rPr>
                <w:rFonts w:cstheme="minorHAnsi"/>
                <w:sz w:val="20"/>
                <w:szCs w:val="20"/>
              </w:rPr>
            </w:pPr>
            <w:r w:rsidRPr="00192356">
              <w:rPr>
                <w:rFonts w:cstheme="minorHAnsi"/>
                <w:sz w:val="20"/>
                <w:szCs w:val="20"/>
              </w:rPr>
              <w:t>I was given all the information that I needed to have my say.</w:t>
            </w:r>
          </w:p>
        </w:tc>
        <w:tc>
          <w:tcPr>
            <w:tcW w:w="850" w:type="dxa"/>
            <w:vAlign w:val="center"/>
          </w:tcPr>
          <w:p w14:paraId="5D3AB6B8" w14:textId="524DE01E" w:rsidR="00192356" w:rsidRPr="00192356" w:rsidRDefault="00192356" w:rsidP="00571741">
            <w:pPr>
              <w:pStyle w:val="ListParagraph"/>
              <w:ind w:left="0"/>
              <w:jc w:val="center"/>
              <w:rPr>
                <w:rFonts w:cstheme="minorHAnsi"/>
                <w:sz w:val="20"/>
                <w:szCs w:val="20"/>
              </w:rPr>
            </w:pPr>
            <w:r w:rsidRPr="00192356">
              <w:rPr>
                <w:sz w:val="20"/>
                <w:szCs w:val="20"/>
              </w:rPr>
              <w:t>6.9%</w:t>
            </w:r>
          </w:p>
        </w:tc>
        <w:tc>
          <w:tcPr>
            <w:tcW w:w="714" w:type="dxa"/>
            <w:vAlign w:val="center"/>
          </w:tcPr>
          <w:p w14:paraId="30809DF1" w14:textId="109BD19E" w:rsidR="00192356" w:rsidRPr="00192356" w:rsidRDefault="00192356" w:rsidP="00571741">
            <w:pPr>
              <w:pStyle w:val="ListParagraph"/>
              <w:ind w:left="0"/>
              <w:jc w:val="center"/>
              <w:rPr>
                <w:rFonts w:cstheme="minorHAnsi"/>
                <w:sz w:val="20"/>
                <w:szCs w:val="20"/>
              </w:rPr>
            </w:pPr>
            <w:r w:rsidRPr="00192356">
              <w:rPr>
                <w:sz w:val="20"/>
                <w:szCs w:val="20"/>
              </w:rPr>
              <w:t>39.4%</w:t>
            </w:r>
          </w:p>
        </w:tc>
        <w:tc>
          <w:tcPr>
            <w:tcW w:w="917" w:type="dxa"/>
            <w:vAlign w:val="center"/>
          </w:tcPr>
          <w:p w14:paraId="5137EC02" w14:textId="44C55165" w:rsidR="00192356" w:rsidRPr="00192356" w:rsidRDefault="00192356" w:rsidP="00571741">
            <w:pPr>
              <w:pStyle w:val="ListParagraph"/>
              <w:ind w:left="0"/>
              <w:jc w:val="center"/>
              <w:rPr>
                <w:rFonts w:cstheme="minorHAnsi"/>
                <w:sz w:val="20"/>
                <w:szCs w:val="20"/>
              </w:rPr>
            </w:pPr>
            <w:r w:rsidRPr="00192356">
              <w:rPr>
                <w:sz w:val="20"/>
                <w:szCs w:val="20"/>
              </w:rPr>
              <w:t>23.7%</w:t>
            </w:r>
          </w:p>
        </w:tc>
        <w:tc>
          <w:tcPr>
            <w:tcW w:w="764" w:type="dxa"/>
            <w:vAlign w:val="center"/>
          </w:tcPr>
          <w:p w14:paraId="6965F12D" w14:textId="60D075F8" w:rsidR="00192356" w:rsidRPr="00192356" w:rsidRDefault="00192356" w:rsidP="00571741">
            <w:pPr>
              <w:pStyle w:val="ListParagraph"/>
              <w:ind w:left="0"/>
              <w:jc w:val="center"/>
              <w:rPr>
                <w:rFonts w:cstheme="minorHAnsi"/>
                <w:sz w:val="20"/>
                <w:szCs w:val="20"/>
              </w:rPr>
            </w:pPr>
            <w:r w:rsidRPr="00192356">
              <w:rPr>
                <w:sz w:val="20"/>
                <w:szCs w:val="20"/>
              </w:rPr>
              <w:t>12.3%</w:t>
            </w:r>
          </w:p>
        </w:tc>
        <w:tc>
          <w:tcPr>
            <w:tcW w:w="764" w:type="dxa"/>
            <w:vAlign w:val="center"/>
          </w:tcPr>
          <w:p w14:paraId="06E22D22" w14:textId="384A829C" w:rsidR="00192356" w:rsidRPr="00192356" w:rsidRDefault="00192356" w:rsidP="00571741">
            <w:pPr>
              <w:pStyle w:val="ListParagraph"/>
              <w:ind w:left="0"/>
              <w:jc w:val="center"/>
              <w:rPr>
                <w:rFonts w:cstheme="minorHAnsi"/>
                <w:sz w:val="20"/>
                <w:szCs w:val="20"/>
              </w:rPr>
            </w:pPr>
            <w:r w:rsidRPr="00192356">
              <w:rPr>
                <w:sz w:val="20"/>
                <w:szCs w:val="20"/>
              </w:rPr>
              <w:t>12.8%</w:t>
            </w:r>
          </w:p>
        </w:tc>
        <w:tc>
          <w:tcPr>
            <w:tcW w:w="764" w:type="dxa"/>
            <w:vAlign w:val="center"/>
          </w:tcPr>
          <w:p w14:paraId="2DEA2667" w14:textId="1D817A82" w:rsidR="00192356" w:rsidRPr="00192356" w:rsidRDefault="00192356" w:rsidP="00571741">
            <w:pPr>
              <w:pStyle w:val="ListParagraph"/>
              <w:ind w:left="0"/>
              <w:jc w:val="center"/>
              <w:rPr>
                <w:rFonts w:cstheme="minorHAnsi"/>
                <w:sz w:val="20"/>
                <w:szCs w:val="20"/>
              </w:rPr>
            </w:pPr>
            <w:r w:rsidRPr="00192356">
              <w:rPr>
                <w:sz w:val="20"/>
                <w:szCs w:val="20"/>
              </w:rPr>
              <w:t>3.0%</w:t>
            </w:r>
          </w:p>
        </w:tc>
      </w:tr>
      <w:tr w:rsidR="00192356" w:rsidRPr="008179A7" w14:paraId="25BE4827" w14:textId="77777777" w:rsidTr="00571741">
        <w:tc>
          <w:tcPr>
            <w:tcW w:w="4390" w:type="dxa"/>
          </w:tcPr>
          <w:p w14:paraId="44B1F53F" w14:textId="789339C3" w:rsidR="00192356" w:rsidRPr="00192356" w:rsidRDefault="00192356" w:rsidP="00192356">
            <w:pPr>
              <w:jc w:val="both"/>
              <w:rPr>
                <w:rFonts w:cstheme="minorHAnsi"/>
                <w:sz w:val="20"/>
                <w:szCs w:val="20"/>
              </w:rPr>
            </w:pPr>
            <w:r w:rsidRPr="00192356">
              <w:rPr>
                <w:rFonts w:cstheme="minorHAnsi"/>
                <w:sz w:val="20"/>
                <w:szCs w:val="20"/>
              </w:rPr>
              <w:t>This consultation process was clear and easy to understand.</w:t>
            </w:r>
          </w:p>
        </w:tc>
        <w:tc>
          <w:tcPr>
            <w:tcW w:w="850" w:type="dxa"/>
            <w:vAlign w:val="center"/>
          </w:tcPr>
          <w:p w14:paraId="7A1A5CE2" w14:textId="0B458CEB" w:rsidR="00192356" w:rsidRPr="00192356" w:rsidRDefault="00192356" w:rsidP="00571741">
            <w:pPr>
              <w:pStyle w:val="ListParagraph"/>
              <w:ind w:left="0"/>
              <w:jc w:val="center"/>
              <w:rPr>
                <w:rFonts w:ascii="Calibri" w:hAnsi="Calibri" w:cs="Calibri"/>
                <w:sz w:val="20"/>
                <w:szCs w:val="20"/>
              </w:rPr>
            </w:pPr>
            <w:r w:rsidRPr="00192356">
              <w:rPr>
                <w:sz w:val="20"/>
                <w:szCs w:val="20"/>
              </w:rPr>
              <w:t>8.4%</w:t>
            </w:r>
          </w:p>
        </w:tc>
        <w:tc>
          <w:tcPr>
            <w:tcW w:w="714" w:type="dxa"/>
            <w:vAlign w:val="center"/>
          </w:tcPr>
          <w:p w14:paraId="606A32A0" w14:textId="063BD5FC" w:rsidR="00192356" w:rsidRPr="00192356" w:rsidRDefault="00192356" w:rsidP="00571741">
            <w:pPr>
              <w:pStyle w:val="ListParagraph"/>
              <w:ind w:left="0"/>
              <w:jc w:val="center"/>
              <w:rPr>
                <w:rFonts w:ascii="Calibri" w:hAnsi="Calibri" w:cs="Calibri"/>
                <w:sz w:val="20"/>
                <w:szCs w:val="20"/>
              </w:rPr>
            </w:pPr>
            <w:r w:rsidRPr="00192356">
              <w:rPr>
                <w:sz w:val="20"/>
                <w:szCs w:val="20"/>
              </w:rPr>
              <w:t>37.4%</w:t>
            </w:r>
          </w:p>
        </w:tc>
        <w:tc>
          <w:tcPr>
            <w:tcW w:w="917" w:type="dxa"/>
            <w:vAlign w:val="center"/>
          </w:tcPr>
          <w:p w14:paraId="65250CF3" w14:textId="408CEA61" w:rsidR="00192356" w:rsidRPr="00192356" w:rsidRDefault="00192356" w:rsidP="00571741">
            <w:pPr>
              <w:pStyle w:val="ListParagraph"/>
              <w:ind w:left="0"/>
              <w:jc w:val="center"/>
              <w:rPr>
                <w:rFonts w:ascii="Calibri" w:hAnsi="Calibri" w:cs="Calibri"/>
                <w:sz w:val="20"/>
                <w:szCs w:val="20"/>
              </w:rPr>
            </w:pPr>
            <w:r w:rsidRPr="00192356">
              <w:rPr>
                <w:sz w:val="20"/>
                <w:szCs w:val="20"/>
              </w:rPr>
              <w:t>26.6%</w:t>
            </w:r>
          </w:p>
        </w:tc>
        <w:tc>
          <w:tcPr>
            <w:tcW w:w="764" w:type="dxa"/>
            <w:vAlign w:val="center"/>
          </w:tcPr>
          <w:p w14:paraId="596EA489" w14:textId="7908702A" w:rsidR="00192356" w:rsidRPr="00192356" w:rsidRDefault="00192356" w:rsidP="00571741">
            <w:pPr>
              <w:pStyle w:val="ListParagraph"/>
              <w:ind w:left="0"/>
              <w:jc w:val="center"/>
              <w:rPr>
                <w:rFonts w:ascii="Calibri" w:hAnsi="Calibri" w:cs="Calibri"/>
                <w:sz w:val="20"/>
                <w:szCs w:val="20"/>
              </w:rPr>
            </w:pPr>
            <w:r w:rsidRPr="00192356">
              <w:rPr>
                <w:sz w:val="20"/>
                <w:szCs w:val="20"/>
              </w:rPr>
              <w:t>12.3%</w:t>
            </w:r>
          </w:p>
        </w:tc>
        <w:tc>
          <w:tcPr>
            <w:tcW w:w="764" w:type="dxa"/>
            <w:vAlign w:val="center"/>
          </w:tcPr>
          <w:p w14:paraId="04AB08F2" w14:textId="53C3EECC" w:rsidR="00192356" w:rsidRPr="00192356" w:rsidRDefault="00192356" w:rsidP="00571741">
            <w:pPr>
              <w:pStyle w:val="ListParagraph"/>
              <w:ind w:left="0"/>
              <w:jc w:val="center"/>
              <w:rPr>
                <w:rFonts w:ascii="Calibri" w:hAnsi="Calibri" w:cs="Calibri"/>
                <w:sz w:val="20"/>
                <w:szCs w:val="20"/>
              </w:rPr>
            </w:pPr>
            <w:r w:rsidRPr="00192356">
              <w:rPr>
                <w:sz w:val="20"/>
                <w:szCs w:val="20"/>
              </w:rPr>
              <w:t>12.3%</w:t>
            </w:r>
          </w:p>
        </w:tc>
        <w:tc>
          <w:tcPr>
            <w:tcW w:w="764" w:type="dxa"/>
            <w:vAlign w:val="center"/>
          </w:tcPr>
          <w:p w14:paraId="3082D1FB" w14:textId="1EACE58C" w:rsidR="00192356" w:rsidRPr="00192356" w:rsidRDefault="00192356" w:rsidP="00571741">
            <w:pPr>
              <w:pStyle w:val="ListParagraph"/>
              <w:ind w:left="0"/>
              <w:jc w:val="center"/>
              <w:rPr>
                <w:rFonts w:ascii="Calibri" w:hAnsi="Calibri" w:cs="Calibri"/>
                <w:sz w:val="20"/>
                <w:szCs w:val="20"/>
              </w:rPr>
            </w:pPr>
            <w:r w:rsidRPr="00192356">
              <w:rPr>
                <w:sz w:val="20"/>
                <w:szCs w:val="20"/>
              </w:rPr>
              <w:t>0.5%</w:t>
            </w:r>
          </w:p>
        </w:tc>
      </w:tr>
      <w:tr w:rsidR="00192356" w:rsidRPr="008179A7" w14:paraId="5C9B37DF" w14:textId="77777777" w:rsidTr="00571741">
        <w:tc>
          <w:tcPr>
            <w:tcW w:w="4390" w:type="dxa"/>
          </w:tcPr>
          <w:p w14:paraId="2F427D5B" w14:textId="1C52D7B0" w:rsidR="00192356" w:rsidRPr="00192356" w:rsidRDefault="00192356" w:rsidP="00192356">
            <w:pPr>
              <w:jc w:val="both"/>
              <w:rPr>
                <w:rFonts w:cstheme="minorHAnsi"/>
                <w:sz w:val="20"/>
                <w:szCs w:val="20"/>
              </w:rPr>
            </w:pPr>
            <w:r w:rsidRPr="00192356">
              <w:rPr>
                <w:rFonts w:cstheme="minorHAnsi"/>
                <w:sz w:val="20"/>
                <w:szCs w:val="20"/>
              </w:rPr>
              <w:t>I was given the opportunity to have my say.</w:t>
            </w:r>
          </w:p>
        </w:tc>
        <w:tc>
          <w:tcPr>
            <w:tcW w:w="850" w:type="dxa"/>
            <w:vAlign w:val="center"/>
          </w:tcPr>
          <w:p w14:paraId="24CFD484" w14:textId="69EEF2BD" w:rsidR="00192356" w:rsidRPr="00192356" w:rsidRDefault="00192356" w:rsidP="00571741">
            <w:pPr>
              <w:pStyle w:val="ListParagraph"/>
              <w:ind w:left="0"/>
              <w:jc w:val="center"/>
              <w:rPr>
                <w:rFonts w:ascii="Calibri" w:hAnsi="Calibri" w:cs="Calibri"/>
                <w:sz w:val="20"/>
                <w:szCs w:val="20"/>
              </w:rPr>
            </w:pPr>
            <w:r w:rsidRPr="00192356">
              <w:rPr>
                <w:sz w:val="20"/>
                <w:szCs w:val="20"/>
              </w:rPr>
              <w:t>11.8%</w:t>
            </w:r>
          </w:p>
        </w:tc>
        <w:tc>
          <w:tcPr>
            <w:tcW w:w="714" w:type="dxa"/>
            <w:vAlign w:val="center"/>
          </w:tcPr>
          <w:p w14:paraId="5418983B" w14:textId="0EE3366C" w:rsidR="00192356" w:rsidRPr="00192356" w:rsidRDefault="00192356" w:rsidP="00571741">
            <w:pPr>
              <w:pStyle w:val="ListParagraph"/>
              <w:ind w:left="0"/>
              <w:jc w:val="center"/>
              <w:rPr>
                <w:rFonts w:ascii="Calibri" w:hAnsi="Calibri" w:cs="Calibri"/>
                <w:sz w:val="20"/>
                <w:szCs w:val="20"/>
              </w:rPr>
            </w:pPr>
            <w:r w:rsidRPr="00192356">
              <w:rPr>
                <w:sz w:val="20"/>
                <w:szCs w:val="20"/>
              </w:rPr>
              <w:t>51.7%</w:t>
            </w:r>
          </w:p>
        </w:tc>
        <w:tc>
          <w:tcPr>
            <w:tcW w:w="917" w:type="dxa"/>
            <w:vAlign w:val="center"/>
          </w:tcPr>
          <w:p w14:paraId="4E94E5D3" w14:textId="3DAB8714" w:rsidR="00192356" w:rsidRPr="00192356" w:rsidRDefault="00192356" w:rsidP="00571741">
            <w:pPr>
              <w:pStyle w:val="ListParagraph"/>
              <w:ind w:left="0"/>
              <w:jc w:val="center"/>
              <w:rPr>
                <w:rFonts w:ascii="Calibri" w:hAnsi="Calibri" w:cs="Calibri"/>
                <w:sz w:val="20"/>
                <w:szCs w:val="20"/>
              </w:rPr>
            </w:pPr>
            <w:r w:rsidRPr="00192356">
              <w:rPr>
                <w:sz w:val="20"/>
                <w:szCs w:val="20"/>
              </w:rPr>
              <w:t>18.7%</w:t>
            </w:r>
          </w:p>
        </w:tc>
        <w:tc>
          <w:tcPr>
            <w:tcW w:w="764" w:type="dxa"/>
            <w:vAlign w:val="center"/>
          </w:tcPr>
          <w:p w14:paraId="4141BA0D" w14:textId="7869ECCB" w:rsidR="00192356" w:rsidRPr="00192356" w:rsidRDefault="00192356" w:rsidP="00571741">
            <w:pPr>
              <w:pStyle w:val="ListParagraph"/>
              <w:ind w:left="0"/>
              <w:jc w:val="center"/>
              <w:rPr>
                <w:rFonts w:ascii="Calibri" w:hAnsi="Calibri" w:cs="Calibri"/>
                <w:sz w:val="20"/>
                <w:szCs w:val="20"/>
              </w:rPr>
            </w:pPr>
            <w:r w:rsidRPr="00192356">
              <w:rPr>
                <w:sz w:val="20"/>
                <w:szCs w:val="20"/>
              </w:rPr>
              <w:t>7.4%</w:t>
            </w:r>
          </w:p>
        </w:tc>
        <w:tc>
          <w:tcPr>
            <w:tcW w:w="764" w:type="dxa"/>
            <w:vAlign w:val="center"/>
          </w:tcPr>
          <w:p w14:paraId="118B5BDE" w14:textId="12AE227B" w:rsidR="00192356" w:rsidRPr="00192356" w:rsidRDefault="00192356" w:rsidP="00571741">
            <w:pPr>
              <w:pStyle w:val="ListParagraph"/>
              <w:ind w:left="0"/>
              <w:jc w:val="center"/>
              <w:rPr>
                <w:rFonts w:ascii="Calibri" w:hAnsi="Calibri" w:cs="Calibri"/>
                <w:sz w:val="20"/>
                <w:szCs w:val="20"/>
              </w:rPr>
            </w:pPr>
            <w:r w:rsidRPr="00192356">
              <w:rPr>
                <w:sz w:val="20"/>
                <w:szCs w:val="20"/>
              </w:rPr>
              <w:t>8.4%</w:t>
            </w:r>
          </w:p>
        </w:tc>
        <w:tc>
          <w:tcPr>
            <w:tcW w:w="764" w:type="dxa"/>
            <w:vAlign w:val="center"/>
          </w:tcPr>
          <w:p w14:paraId="2A5010A4" w14:textId="3D6D908A" w:rsidR="00192356" w:rsidRPr="00192356" w:rsidRDefault="00192356" w:rsidP="00571741">
            <w:pPr>
              <w:pStyle w:val="ListParagraph"/>
              <w:ind w:left="0"/>
              <w:jc w:val="center"/>
              <w:rPr>
                <w:rFonts w:ascii="Calibri" w:hAnsi="Calibri" w:cs="Calibri"/>
                <w:sz w:val="20"/>
                <w:szCs w:val="20"/>
              </w:rPr>
            </w:pPr>
            <w:r w:rsidRPr="00192356">
              <w:rPr>
                <w:sz w:val="20"/>
                <w:szCs w:val="20"/>
              </w:rPr>
              <w:t>0.0%</w:t>
            </w:r>
          </w:p>
        </w:tc>
      </w:tr>
    </w:tbl>
    <w:p w14:paraId="69CEAB07" w14:textId="77777777" w:rsidR="008179A7" w:rsidRPr="00192356" w:rsidRDefault="008179A7" w:rsidP="008179A7">
      <w:pPr>
        <w:pStyle w:val="ListParagraph"/>
        <w:ind w:left="792"/>
        <w:jc w:val="both"/>
        <w:rPr>
          <w:rFonts w:cstheme="minorHAnsi"/>
        </w:rPr>
      </w:pPr>
    </w:p>
    <w:p w14:paraId="38842800" w14:textId="1BA40653" w:rsidR="008179A7" w:rsidRDefault="00192356" w:rsidP="00514A66">
      <w:pPr>
        <w:pStyle w:val="ListParagraph"/>
        <w:numPr>
          <w:ilvl w:val="1"/>
          <w:numId w:val="37"/>
        </w:numPr>
        <w:tabs>
          <w:tab w:val="left" w:pos="851"/>
        </w:tabs>
        <w:ind w:left="851" w:hanging="851"/>
        <w:jc w:val="both"/>
        <w:rPr>
          <w:rFonts w:cstheme="minorHAnsi"/>
        </w:rPr>
      </w:pPr>
      <w:r w:rsidRPr="00192356">
        <w:rPr>
          <w:rFonts w:cstheme="minorHAnsi"/>
        </w:rPr>
        <w:t>R</w:t>
      </w:r>
      <w:r w:rsidR="008179A7" w:rsidRPr="00192356">
        <w:rPr>
          <w:rFonts w:cstheme="minorHAnsi"/>
        </w:rPr>
        <w:t xml:space="preserve">espondents </w:t>
      </w:r>
      <w:r w:rsidRPr="00192356">
        <w:rPr>
          <w:rFonts w:cstheme="minorHAnsi"/>
        </w:rPr>
        <w:t>were generally positive about the consultation process, albeit with a lower proportion agreeing that the consultation process was clear and easy to understand</w:t>
      </w:r>
      <w:r w:rsidR="008179A7" w:rsidRPr="00192356">
        <w:rPr>
          <w:rFonts w:cstheme="minorHAnsi"/>
        </w:rPr>
        <w:t>.</w:t>
      </w:r>
    </w:p>
    <w:p w14:paraId="5EA65C48" w14:textId="77777777" w:rsidR="00186C74" w:rsidRDefault="00186C74" w:rsidP="00514A66">
      <w:pPr>
        <w:pStyle w:val="ListParagraph"/>
        <w:tabs>
          <w:tab w:val="left" w:pos="851"/>
        </w:tabs>
        <w:ind w:left="851" w:hanging="851"/>
        <w:jc w:val="both"/>
        <w:rPr>
          <w:rFonts w:cstheme="minorHAnsi"/>
        </w:rPr>
      </w:pPr>
    </w:p>
    <w:p w14:paraId="24037D3B" w14:textId="4D1738EB" w:rsidR="00186C74" w:rsidRDefault="00186C74" w:rsidP="00514A66">
      <w:pPr>
        <w:pStyle w:val="ListParagraph"/>
        <w:numPr>
          <w:ilvl w:val="1"/>
          <w:numId w:val="37"/>
        </w:numPr>
        <w:tabs>
          <w:tab w:val="left" w:pos="851"/>
        </w:tabs>
        <w:ind w:left="851" w:hanging="851"/>
        <w:jc w:val="both"/>
        <w:rPr>
          <w:rFonts w:cstheme="minorHAnsi"/>
        </w:rPr>
      </w:pPr>
      <w:r>
        <w:rPr>
          <w:rFonts w:cstheme="minorHAnsi"/>
        </w:rPr>
        <w:t xml:space="preserve">Respondents were invited to provide any other feedback on the consultation process. Points made included character </w:t>
      </w:r>
      <w:r w:rsidR="00945B0F">
        <w:rPr>
          <w:rFonts w:cstheme="minorHAnsi"/>
        </w:rPr>
        <w:t>limits</w:t>
      </w:r>
      <w:r>
        <w:rPr>
          <w:rFonts w:cstheme="minorHAnsi"/>
        </w:rPr>
        <w:t xml:space="preserve"> on </w:t>
      </w:r>
      <w:r w:rsidR="00945B0F">
        <w:rPr>
          <w:rFonts w:cstheme="minorHAnsi"/>
        </w:rPr>
        <w:t xml:space="preserve">responses (these limits were removed while the consultation was ongoing); a lack of clarity as to the interface with City Plan 2030 and the examination thereof; a desire for more in-person consultations; a view that the document should use plainer English; a view that the plans and maps were not </w:t>
      </w:r>
      <w:r w:rsidR="002F5CC7">
        <w:rPr>
          <w:rFonts w:cstheme="minorHAnsi"/>
        </w:rPr>
        <w:t>easy to interpret</w:t>
      </w:r>
      <w:r w:rsidR="00945B0F">
        <w:rPr>
          <w:rFonts w:cstheme="minorHAnsi"/>
        </w:rPr>
        <w:t xml:space="preserve">; </w:t>
      </w:r>
      <w:r w:rsidR="00B303B0">
        <w:rPr>
          <w:rFonts w:cstheme="minorHAnsi"/>
        </w:rPr>
        <w:t xml:space="preserve">a view that some plans/images in </w:t>
      </w:r>
      <w:r w:rsidR="00B303B0" w:rsidRPr="00A35771">
        <w:rPr>
          <w:rFonts w:cstheme="minorHAnsi"/>
          <w:i/>
          <w:iCs/>
        </w:rPr>
        <w:t>Towards West Edinburgh</w:t>
      </w:r>
      <w:r w:rsidR="00B303B0" w:rsidRPr="00A02ABF">
        <w:rPr>
          <w:rFonts w:cstheme="minorHAnsi"/>
          <w:i/>
          <w:iCs/>
        </w:rPr>
        <w:t xml:space="preserve"> 2050</w:t>
      </w:r>
      <w:r w:rsidR="00B303B0">
        <w:rPr>
          <w:rFonts w:cstheme="minorHAnsi"/>
        </w:rPr>
        <w:t xml:space="preserve"> included proposals that were not discussed in the body text; a view that terms such as “20 Minute Neighbourhood” should be clearly defined; </w:t>
      </w:r>
      <w:r w:rsidR="00945B0F">
        <w:rPr>
          <w:rFonts w:cstheme="minorHAnsi"/>
        </w:rPr>
        <w:t>and a view that the responses to the consultation would not be acted upon.</w:t>
      </w:r>
    </w:p>
    <w:p w14:paraId="5FF0D159" w14:textId="77777777" w:rsidR="00617AA1" w:rsidRDefault="00617AA1" w:rsidP="009B6B3C">
      <w:pPr>
        <w:pStyle w:val="ListParagraph"/>
        <w:ind w:left="360"/>
        <w:jc w:val="both"/>
        <w:rPr>
          <w:b/>
          <w:bCs/>
        </w:rPr>
      </w:pPr>
    </w:p>
    <w:tbl>
      <w:tblPr>
        <w:tblStyle w:val="TableGrid"/>
        <w:tblW w:w="0" w:type="auto"/>
        <w:tblInd w:w="-147" w:type="dxa"/>
        <w:tblLook w:val="04A0" w:firstRow="1" w:lastRow="0" w:firstColumn="1" w:lastColumn="0" w:noHBand="0" w:noVBand="1"/>
      </w:tblPr>
      <w:tblGrid>
        <w:gridCol w:w="9163"/>
      </w:tblGrid>
      <w:tr w:rsidR="008B6570" w14:paraId="6C7401AE" w14:textId="77777777" w:rsidTr="003F1CE0">
        <w:tc>
          <w:tcPr>
            <w:tcW w:w="9163" w:type="dxa"/>
            <w:shd w:val="clear" w:color="auto" w:fill="D9D9D9" w:themeFill="background1" w:themeFillShade="D9"/>
          </w:tcPr>
          <w:p w14:paraId="1F6E7B11" w14:textId="3BC87AEA" w:rsidR="008B6570" w:rsidRPr="00514A66" w:rsidRDefault="008B6570" w:rsidP="003F1CE0">
            <w:pPr>
              <w:pStyle w:val="ListParagraph"/>
              <w:ind w:left="0"/>
              <w:jc w:val="center"/>
              <w:rPr>
                <w:b/>
                <w:bCs/>
              </w:rPr>
            </w:pPr>
            <w:r w:rsidRPr="00514A66">
              <w:rPr>
                <w:b/>
                <w:bCs/>
              </w:rPr>
              <w:t>Response</w:t>
            </w:r>
            <w:r>
              <w:rPr>
                <w:b/>
                <w:bCs/>
              </w:rPr>
              <w:t xml:space="preserve"> to comments on the consultation process for </w:t>
            </w:r>
            <w:r w:rsidRPr="008B6570">
              <w:rPr>
                <w:b/>
                <w:bCs/>
                <w:i/>
                <w:iCs/>
              </w:rPr>
              <w:t>Towards West Edinburgh 2050</w:t>
            </w:r>
          </w:p>
        </w:tc>
      </w:tr>
      <w:tr w:rsidR="008B6570" w14:paraId="4F824939" w14:textId="77777777" w:rsidTr="003F1CE0">
        <w:tc>
          <w:tcPr>
            <w:tcW w:w="9163" w:type="dxa"/>
          </w:tcPr>
          <w:p w14:paraId="39716D7E" w14:textId="2B8804A2" w:rsidR="008B6570" w:rsidRPr="00EF5F0B" w:rsidRDefault="00EF5F0B" w:rsidP="003F1CE0">
            <w:pPr>
              <w:pStyle w:val="ListParagraph"/>
              <w:ind w:left="0"/>
              <w:jc w:val="both"/>
            </w:pPr>
            <w:r w:rsidRPr="00EF5F0B">
              <w:t>Feeback noted.</w:t>
            </w:r>
          </w:p>
        </w:tc>
      </w:tr>
    </w:tbl>
    <w:p w14:paraId="042F236B" w14:textId="77777777" w:rsidR="008B6570" w:rsidRDefault="008B6570" w:rsidP="009B6B3C">
      <w:pPr>
        <w:pStyle w:val="ListParagraph"/>
        <w:ind w:left="360"/>
        <w:jc w:val="both"/>
        <w:rPr>
          <w:b/>
          <w:bCs/>
        </w:rPr>
      </w:pPr>
    </w:p>
    <w:p w14:paraId="0BE74139" w14:textId="77777777" w:rsidR="00EF5F0B" w:rsidRDefault="00EF5F0B" w:rsidP="009B6B3C">
      <w:pPr>
        <w:pStyle w:val="ListParagraph"/>
        <w:ind w:left="360"/>
        <w:jc w:val="both"/>
        <w:rPr>
          <w:b/>
          <w:bCs/>
        </w:rPr>
      </w:pPr>
    </w:p>
    <w:p w14:paraId="2B2130A9" w14:textId="77777777" w:rsidR="00EF5F0B" w:rsidRDefault="00EF5F0B" w:rsidP="009B6B3C">
      <w:pPr>
        <w:pStyle w:val="ListParagraph"/>
        <w:ind w:left="360"/>
        <w:jc w:val="both"/>
        <w:rPr>
          <w:b/>
          <w:bCs/>
        </w:rPr>
      </w:pPr>
    </w:p>
    <w:p w14:paraId="508853D0" w14:textId="77777777" w:rsidR="00EF5F0B" w:rsidRPr="00192356" w:rsidRDefault="00EF5F0B" w:rsidP="009B6B3C">
      <w:pPr>
        <w:pStyle w:val="ListParagraph"/>
        <w:ind w:left="360"/>
        <w:jc w:val="both"/>
        <w:rPr>
          <w:b/>
          <w:bCs/>
        </w:rPr>
      </w:pPr>
    </w:p>
    <w:p w14:paraId="259CB85D" w14:textId="74CBF2EC" w:rsidR="00934205" w:rsidRPr="009B6B3C" w:rsidRDefault="00E82C51" w:rsidP="00617AA1">
      <w:pPr>
        <w:pStyle w:val="ListParagraph"/>
        <w:numPr>
          <w:ilvl w:val="0"/>
          <w:numId w:val="37"/>
        </w:numPr>
        <w:jc w:val="both"/>
        <w:rPr>
          <w:b/>
          <w:bCs/>
        </w:rPr>
      </w:pPr>
      <w:r w:rsidRPr="00192356">
        <w:rPr>
          <w:b/>
          <w:bCs/>
        </w:rPr>
        <w:lastRenderedPageBreak/>
        <w:t>Direct</w:t>
      </w:r>
      <w:r w:rsidR="009B6B3C" w:rsidRPr="00192356">
        <w:rPr>
          <w:b/>
          <w:bCs/>
        </w:rPr>
        <w:t xml:space="preserve"> </w:t>
      </w:r>
      <w:r w:rsidR="009B6B3C" w:rsidRPr="009B6B3C">
        <w:rPr>
          <w:b/>
          <w:bCs/>
        </w:rPr>
        <w:t>responses</w:t>
      </w:r>
    </w:p>
    <w:p w14:paraId="70643C46" w14:textId="77777777" w:rsidR="009B6B3C" w:rsidRDefault="009B6B3C" w:rsidP="009B6B3C">
      <w:pPr>
        <w:pStyle w:val="ListParagraph"/>
        <w:ind w:left="792"/>
        <w:jc w:val="both"/>
      </w:pPr>
    </w:p>
    <w:p w14:paraId="412B1FF1" w14:textId="216E02C4" w:rsidR="00220DD1" w:rsidRDefault="00232BD9" w:rsidP="00514A66">
      <w:pPr>
        <w:pStyle w:val="ListParagraph"/>
        <w:numPr>
          <w:ilvl w:val="1"/>
          <w:numId w:val="37"/>
        </w:numPr>
        <w:ind w:hanging="792"/>
        <w:jc w:val="both"/>
      </w:pPr>
      <w:r>
        <w:t>16</w:t>
      </w:r>
      <w:r w:rsidR="00DB261C">
        <w:t xml:space="preserve"> direct responses to the consultation were also received by the Council. These were in some cases highly detailed. Key points from the responses are set out below on an anonymised basis</w:t>
      </w:r>
      <w:r w:rsidR="00812C52">
        <w:t>, grouped thematically and geographically</w:t>
      </w:r>
      <w:r w:rsidR="00DB261C">
        <w:t>.</w:t>
      </w:r>
    </w:p>
    <w:p w14:paraId="617649B3" w14:textId="77777777" w:rsidR="00220DD1" w:rsidRDefault="00220DD1" w:rsidP="00514A66">
      <w:pPr>
        <w:pStyle w:val="ListParagraph"/>
        <w:ind w:left="792" w:hanging="792"/>
        <w:jc w:val="both"/>
      </w:pPr>
    </w:p>
    <w:p w14:paraId="40D422E3" w14:textId="796B3444" w:rsidR="00A87E66" w:rsidRDefault="00220DD1" w:rsidP="00514A66">
      <w:pPr>
        <w:pStyle w:val="ListParagraph"/>
        <w:numPr>
          <w:ilvl w:val="1"/>
          <w:numId w:val="37"/>
        </w:numPr>
        <w:ind w:hanging="792"/>
        <w:jc w:val="both"/>
      </w:pPr>
      <w:r>
        <w:t xml:space="preserve">The ability of </w:t>
      </w:r>
      <w:r w:rsidRPr="00220DD1">
        <w:rPr>
          <w:rFonts w:cstheme="minorHAnsi"/>
          <w:i/>
          <w:iCs/>
        </w:rPr>
        <w:t>Towards West Edinburgh 2050</w:t>
      </w:r>
      <w:r w:rsidRPr="00DB261C">
        <w:t xml:space="preserve"> to influence City Plan 2030 at this juncture was questioned.</w:t>
      </w:r>
      <w:r w:rsidR="00A87E66">
        <w:t xml:space="preserve"> It was suggested that </w:t>
      </w:r>
      <w:r w:rsidR="00A87E66" w:rsidRPr="00220DD1">
        <w:rPr>
          <w:rFonts w:cstheme="minorHAnsi"/>
          <w:i/>
          <w:iCs/>
        </w:rPr>
        <w:t>Towards West Edinburgh 2050</w:t>
      </w:r>
      <w:r w:rsidR="00A87E66" w:rsidRPr="00DB261C">
        <w:t xml:space="preserve"> </w:t>
      </w:r>
      <w:r w:rsidR="00A87E66" w:rsidRPr="00A87E66">
        <w:t xml:space="preserve">should be reconsulted upon </w:t>
      </w:r>
      <w:r w:rsidR="00A87E66">
        <w:t>once</w:t>
      </w:r>
      <w:r w:rsidR="00A87E66" w:rsidRPr="00A87E66">
        <w:t xml:space="preserve"> the City Plan 2030 </w:t>
      </w:r>
      <w:r w:rsidR="00A87E66">
        <w:t>e</w:t>
      </w:r>
      <w:r w:rsidR="00A87E66" w:rsidRPr="00A87E66">
        <w:t>xamination</w:t>
      </w:r>
      <w:r w:rsidR="00A87E66">
        <w:t xml:space="preserve"> had concluded and </w:t>
      </w:r>
      <w:r w:rsidR="00A87E66" w:rsidRPr="00A87E66">
        <w:t xml:space="preserve">once </w:t>
      </w:r>
      <w:r w:rsidR="00A87E66">
        <w:t xml:space="preserve">a </w:t>
      </w:r>
      <w:r w:rsidR="00A87E66" w:rsidRPr="00A87E66">
        <w:t>clear strategy for infrastructure provision</w:t>
      </w:r>
      <w:r w:rsidR="00A87E66">
        <w:t xml:space="preserve"> was in place and that it would be premature for </w:t>
      </w:r>
      <w:r w:rsidR="00A87E66" w:rsidRPr="00220DD1">
        <w:rPr>
          <w:rFonts w:cstheme="minorHAnsi"/>
          <w:i/>
          <w:iCs/>
        </w:rPr>
        <w:t>Towards West Edinburgh 2050</w:t>
      </w:r>
      <w:r w:rsidR="00A87E66" w:rsidRPr="00DB261C">
        <w:t xml:space="preserve"> </w:t>
      </w:r>
      <w:r w:rsidR="00A87E66">
        <w:t>to be put into force before then</w:t>
      </w:r>
      <w:r w:rsidR="00A87E66" w:rsidRPr="00A87E66">
        <w:t>.</w:t>
      </w:r>
    </w:p>
    <w:p w14:paraId="534B6808" w14:textId="77777777" w:rsidR="00A87E66" w:rsidRDefault="00A87E66" w:rsidP="00514A66">
      <w:pPr>
        <w:pStyle w:val="ListParagraph"/>
        <w:ind w:left="792" w:hanging="792"/>
        <w:jc w:val="both"/>
      </w:pPr>
    </w:p>
    <w:tbl>
      <w:tblPr>
        <w:tblStyle w:val="TableGrid"/>
        <w:tblW w:w="0" w:type="auto"/>
        <w:tblInd w:w="-147" w:type="dxa"/>
        <w:tblLook w:val="04A0" w:firstRow="1" w:lastRow="0" w:firstColumn="1" w:lastColumn="0" w:noHBand="0" w:noVBand="1"/>
      </w:tblPr>
      <w:tblGrid>
        <w:gridCol w:w="9163"/>
      </w:tblGrid>
      <w:tr w:rsidR="008B6570" w14:paraId="1FD80E91" w14:textId="77777777" w:rsidTr="003F1CE0">
        <w:tc>
          <w:tcPr>
            <w:tcW w:w="9163" w:type="dxa"/>
            <w:shd w:val="clear" w:color="auto" w:fill="D9D9D9" w:themeFill="background1" w:themeFillShade="D9"/>
          </w:tcPr>
          <w:p w14:paraId="4D4309B4" w14:textId="2E8BDFD9" w:rsidR="008B6570" w:rsidRPr="00514A66" w:rsidRDefault="008B6570" w:rsidP="003F1CE0">
            <w:pPr>
              <w:pStyle w:val="ListParagraph"/>
              <w:ind w:left="0"/>
              <w:jc w:val="center"/>
              <w:rPr>
                <w:b/>
                <w:bCs/>
              </w:rPr>
            </w:pPr>
            <w:r w:rsidRPr="00514A66">
              <w:rPr>
                <w:b/>
                <w:bCs/>
              </w:rPr>
              <w:t>Response</w:t>
            </w:r>
            <w:r>
              <w:rPr>
                <w:b/>
                <w:bCs/>
              </w:rPr>
              <w:t xml:space="preserve"> to comments on the relationship between City Plan 2030 and </w:t>
            </w:r>
            <w:r w:rsidRPr="008B6570">
              <w:rPr>
                <w:b/>
                <w:bCs/>
                <w:i/>
                <w:iCs/>
              </w:rPr>
              <w:t>Towards West Edinburgh 2050</w:t>
            </w:r>
          </w:p>
        </w:tc>
      </w:tr>
      <w:tr w:rsidR="008B6570" w14:paraId="09ECC64E" w14:textId="77777777" w:rsidTr="003F1CE0">
        <w:tc>
          <w:tcPr>
            <w:tcW w:w="9163" w:type="dxa"/>
          </w:tcPr>
          <w:p w14:paraId="3EB391CA" w14:textId="3F20CEA8" w:rsidR="008B6570" w:rsidRDefault="009975D7" w:rsidP="003F1CE0">
            <w:pPr>
              <w:pStyle w:val="ListParagraph"/>
              <w:ind w:left="0"/>
              <w:jc w:val="both"/>
            </w:pPr>
            <w:r w:rsidRPr="00EF5F0B">
              <w:t xml:space="preserve">The role and status of </w:t>
            </w:r>
            <w:r w:rsidRPr="009975D7">
              <w:rPr>
                <w:i/>
                <w:iCs/>
              </w:rPr>
              <w:t>Towards West Edinburgh 20</w:t>
            </w:r>
            <w:r>
              <w:rPr>
                <w:i/>
                <w:iCs/>
              </w:rPr>
              <w:t>50</w:t>
            </w:r>
            <w:r w:rsidRPr="00EF5F0B">
              <w:t xml:space="preserve"> as a study has been clarified.</w:t>
            </w:r>
          </w:p>
        </w:tc>
      </w:tr>
    </w:tbl>
    <w:p w14:paraId="4E23C4D5" w14:textId="77777777" w:rsidR="008B6570" w:rsidRDefault="008B6570" w:rsidP="00514A66">
      <w:pPr>
        <w:pStyle w:val="ListParagraph"/>
        <w:ind w:left="792" w:hanging="792"/>
        <w:jc w:val="both"/>
      </w:pPr>
    </w:p>
    <w:p w14:paraId="0E5B5C9F" w14:textId="71D47E1D" w:rsidR="001650F3" w:rsidRDefault="00933AC4" w:rsidP="00514A66">
      <w:pPr>
        <w:pStyle w:val="ListParagraph"/>
        <w:numPr>
          <w:ilvl w:val="1"/>
          <w:numId w:val="37"/>
        </w:numPr>
        <w:ind w:hanging="792"/>
        <w:jc w:val="both"/>
      </w:pPr>
      <w:r>
        <w:t>The “</w:t>
      </w:r>
      <w:r w:rsidRPr="00933AC4">
        <w:t>Prioritise a brownfield first strategy for future growth”</w:t>
      </w:r>
      <w:r>
        <w:t xml:space="preserve"> statement was objected to on the basis that it is suggested that </w:t>
      </w:r>
      <w:r w:rsidRPr="00933AC4">
        <w:t xml:space="preserve">brownfield sites are </w:t>
      </w:r>
      <w:r>
        <w:t xml:space="preserve">not </w:t>
      </w:r>
      <w:r w:rsidRPr="00933AC4">
        <w:t xml:space="preserve">inherently </w:t>
      </w:r>
      <w:r>
        <w:t xml:space="preserve">more </w:t>
      </w:r>
      <w:r w:rsidRPr="00933AC4">
        <w:t xml:space="preserve">sustainable </w:t>
      </w:r>
      <w:r>
        <w:t>than</w:t>
      </w:r>
      <w:r w:rsidRPr="00933AC4">
        <w:t xml:space="preserve"> greenfield sites</w:t>
      </w:r>
      <w:r>
        <w:t xml:space="preserve">. This was suggested to be reworded to “a </w:t>
      </w:r>
      <w:r w:rsidRPr="00933AC4">
        <w:t>sustainable, inclusive and accessible strategy</w:t>
      </w:r>
      <w:r>
        <w:t>”.</w:t>
      </w:r>
    </w:p>
    <w:p w14:paraId="555AB13E" w14:textId="77777777" w:rsidR="00B928BB" w:rsidRDefault="00B928BB" w:rsidP="00514A66">
      <w:pPr>
        <w:pStyle w:val="ListParagraph"/>
        <w:ind w:hanging="792"/>
      </w:pPr>
    </w:p>
    <w:tbl>
      <w:tblPr>
        <w:tblStyle w:val="TableGrid"/>
        <w:tblW w:w="0" w:type="auto"/>
        <w:tblInd w:w="-147" w:type="dxa"/>
        <w:tblLook w:val="04A0" w:firstRow="1" w:lastRow="0" w:firstColumn="1" w:lastColumn="0" w:noHBand="0" w:noVBand="1"/>
      </w:tblPr>
      <w:tblGrid>
        <w:gridCol w:w="9163"/>
      </w:tblGrid>
      <w:tr w:rsidR="008B6570" w14:paraId="2E622C21" w14:textId="77777777" w:rsidTr="003F1CE0">
        <w:tc>
          <w:tcPr>
            <w:tcW w:w="9163" w:type="dxa"/>
            <w:shd w:val="clear" w:color="auto" w:fill="D9D9D9" w:themeFill="background1" w:themeFillShade="D9"/>
          </w:tcPr>
          <w:p w14:paraId="5B1777F7" w14:textId="0F33FA7A" w:rsidR="008B6570" w:rsidRPr="00514A66" w:rsidRDefault="008B6570" w:rsidP="003F1CE0">
            <w:pPr>
              <w:pStyle w:val="ListParagraph"/>
              <w:ind w:left="0"/>
              <w:jc w:val="center"/>
              <w:rPr>
                <w:b/>
                <w:bCs/>
              </w:rPr>
            </w:pPr>
            <w:r w:rsidRPr="00514A66">
              <w:rPr>
                <w:b/>
                <w:bCs/>
              </w:rPr>
              <w:t>Response</w:t>
            </w:r>
            <w:r>
              <w:rPr>
                <w:b/>
                <w:bCs/>
              </w:rPr>
              <w:t xml:space="preserve"> to comments on the brownfield first strategy</w:t>
            </w:r>
          </w:p>
        </w:tc>
      </w:tr>
      <w:tr w:rsidR="008B6570" w14:paraId="49B596F8" w14:textId="77777777" w:rsidTr="003F1CE0">
        <w:tc>
          <w:tcPr>
            <w:tcW w:w="9163" w:type="dxa"/>
          </w:tcPr>
          <w:p w14:paraId="0743A8F6" w14:textId="6DD0E0DB" w:rsidR="008B6570" w:rsidRDefault="009975D7" w:rsidP="003F1CE0">
            <w:pPr>
              <w:pStyle w:val="ListParagraph"/>
              <w:ind w:left="0"/>
              <w:jc w:val="both"/>
            </w:pPr>
            <w:r>
              <w:t>More nuanced text has been added under “Economic Growth”.</w:t>
            </w:r>
          </w:p>
        </w:tc>
      </w:tr>
    </w:tbl>
    <w:p w14:paraId="21692E07" w14:textId="77777777" w:rsidR="008B6570" w:rsidRDefault="008B6570" w:rsidP="00514A66">
      <w:pPr>
        <w:pStyle w:val="ListParagraph"/>
        <w:ind w:hanging="792"/>
      </w:pPr>
    </w:p>
    <w:p w14:paraId="603BF49E" w14:textId="3EEA91A5" w:rsidR="00247A73" w:rsidRDefault="00247A73" w:rsidP="00247A73">
      <w:pPr>
        <w:pStyle w:val="ListParagraph"/>
        <w:numPr>
          <w:ilvl w:val="1"/>
          <w:numId w:val="37"/>
        </w:numPr>
        <w:ind w:hanging="792"/>
        <w:jc w:val="both"/>
      </w:pPr>
      <w:r>
        <w:t xml:space="preserve">The rationale for the </w:t>
      </w:r>
      <w:r w:rsidRPr="00247A73">
        <w:t xml:space="preserve">Western District </w:t>
      </w:r>
      <w:r>
        <w:t>being</w:t>
      </w:r>
      <w:r w:rsidRPr="00247A73">
        <w:t xml:space="preserve"> </w:t>
      </w:r>
      <w:r>
        <w:t>identified</w:t>
      </w:r>
      <w:r w:rsidRPr="00247A73">
        <w:t xml:space="preserve"> to as a longer-term </w:t>
      </w:r>
      <w:r>
        <w:t>opportunity was queried.</w:t>
      </w:r>
    </w:p>
    <w:p w14:paraId="77242D7B" w14:textId="77777777" w:rsidR="00247A73" w:rsidRDefault="00247A73" w:rsidP="00247A73">
      <w:pPr>
        <w:pStyle w:val="ListParagraph"/>
        <w:ind w:hanging="792"/>
      </w:pPr>
    </w:p>
    <w:tbl>
      <w:tblPr>
        <w:tblStyle w:val="TableGrid"/>
        <w:tblW w:w="0" w:type="auto"/>
        <w:tblInd w:w="-147" w:type="dxa"/>
        <w:tblLook w:val="04A0" w:firstRow="1" w:lastRow="0" w:firstColumn="1" w:lastColumn="0" w:noHBand="0" w:noVBand="1"/>
      </w:tblPr>
      <w:tblGrid>
        <w:gridCol w:w="9163"/>
      </w:tblGrid>
      <w:tr w:rsidR="00247A73" w14:paraId="74E9F17C" w14:textId="77777777" w:rsidTr="003F1CE0">
        <w:tc>
          <w:tcPr>
            <w:tcW w:w="9163" w:type="dxa"/>
            <w:shd w:val="clear" w:color="auto" w:fill="D9D9D9" w:themeFill="background1" w:themeFillShade="D9"/>
          </w:tcPr>
          <w:p w14:paraId="41F1D0F4" w14:textId="1B57B065" w:rsidR="00247A73" w:rsidRPr="00514A66" w:rsidRDefault="00247A73" w:rsidP="003F1CE0">
            <w:pPr>
              <w:pStyle w:val="ListParagraph"/>
              <w:ind w:left="0"/>
              <w:jc w:val="center"/>
              <w:rPr>
                <w:b/>
                <w:bCs/>
              </w:rPr>
            </w:pPr>
            <w:r w:rsidRPr="00514A66">
              <w:rPr>
                <w:b/>
                <w:bCs/>
              </w:rPr>
              <w:t>Response</w:t>
            </w:r>
            <w:r>
              <w:rPr>
                <w:b/>
                <w:bCs/>
              </w:rPr>
              <w:t xml:space="preserve"> to comments on the Western District</w:t>
            </w:r>
          </w:p>
        </w:tc>
      </w:tr>
      <w:tr w:rsidR="00247A73" w14:paraId="773A63B7" w14:textId="77777777" w:rsidTr="003F1CE0">
        <w:tc>
          <w:tcPr>
            <w:tcW w:w="9163" w:type="dxa"/>
          </w:tcPr>
          <w:p w14:paraId="4DE221E0" w14:textId="65C40E96" w:rsidR="00247A73" w:rsidRPr="009975D7" w:rsidRDefault="009975D7" w:rsidP="003F1CE0">
            <w:pPr>
              <w:pStyle w:val="ListParagraph"/>
              <w:ind w:left="0"/>
              <w:jc w:val="both"/>
            </w:pPr>
            <w:r w:rsidRPr="009975D7">
              <w:t>This reference has been removed.</w:t>
            </w:r>
          </w:p>
        </w:tc>
      </w:tr>
    </w:tbl>
    <w:p w14:paraId="19C06B40" w14:textId="77777777" w:rsidR="00247A73" w:rsidRPr="00B928BB" w:rsidRDefault="00247A73" w:rsidP="00514A66">
      <w:pPr>
        <w:pStyle w:val="ListParagraph"/>
        <w:ind w:hanging="792"/>
      </w:pPr>
    </w:p>
    <w:p w14:paraId="07421175" w14:textId="460AFB8F" w:rsidR="00B928BB" w:rsidRPr="00B928BB" w:rsidRDefault="00B928BB" w:rsidP="00514A66">
      <w:pPr>
        <w:pStyle w:val="ListParagraph"/>
        <w:numPr>
          <w:ilvl w:val="1"/>
          <w:numId w:val="37"/>
        </w:numPr>
        <w:ind w:hanging="792"/>
        <w:jc w:val="both"/>
      </w:pPr>
      <w:r w:rsidRPr="00B928BB">
        <w:t>A “lack of connectivity between communities, due to inadequate public transport links” and a “failure to utilise and build upon existing assets in West Edinburgh, such as Heriot-Watt University” were suggested as being captured as key issues (page 6).</w:t>
      </w:r>
    </w:p>
    <w:p w14:paraId="7EE52E99" w14:textId="77777777" w:rsidR="00B928BB" w:rsidRDefault="00B928BB" w:rsidP="00514A66">
      <w:pPr>
        <w:pStyle w:val="ListParagraph"/>
        <w:ind w:hanging="792"/>
      </w:pPr>
    </w:p>
    <w:tbl>
      <w:tblPr>
        <w:tblStyle w:val="TableGrid"/>
        <w:tblW w:w="0" w:type="auto"/>
        <w:tblInd w:w="-147" w:type="dxa"/>
        <w:tblLook w:val="04A0" w:firstRow="1" w:lastRow="0" w:firstColumn="1" w:lastColumn="0" w:noHBand="0" w:noVBand="1"/>
      </w:tblPr>
      <w:tblGrid>
        <w:gridCol w:w="9163"/>
      </w:tblGrid>
      <w:tr w:rsidR="008B6570" w14:paraId="7EBA4668" w14:textId="77777777" w:rsidTr="003F1CE0">
        <w:tc>
          <w:tcPr>
            <w:tcW w:w="9163" w:type="dxa"/>
            <w:shd w:val="clear" w:color="auto" w:fill="D9D9D9" w:themeFill="background1" w:themeFillShade="D9"/>
          </w:tcPr>
          <w:p w14:paraId="3968A622" w14:textId="62FE71E8" w:rsidR="008B6570" w:rsidRPr="00514A66" w:rsidRDefault="008B6570" w:rsidP="003F1CE0">
            <w:pPr>
              <w:pStyle w:val="ListParagraph"/>
              <w:ind w:left="0"/>
              <w:jc w:val="center"/>
              <w:rPr>
                <w:b/>
                <w:bCs/>
              </w:rPr>
            </w:pPr>
            <w:r w:rsidRPr="00514A66">
              <w:rPr>
                <w:b/>
                <w:bCs/>
              </w:rPr>
              <w:t>Response</w:t>
            </w:r>
            <w:r>
              <w:rPr>
                <w:b/>
                <w:bCs/>
              </w:rPr>
              <w:t xml:space="preserve"> to comments on key issues</w:t>
            </w:r>
          </w:p>
        </w:tc>
      </w:tr>
      <w:tr w:rsidR="008B6570" w14:paraId="71D87558" w14:textId="77777777" w:rsidTr="003F1CE0">
        <w:tc>
          <w:tcPr>
            <w:tcW w:w="9163" w:type="dxa"/>
          </w:tcPr>
          <w:p w14:paraId="4B2BFEBD" w14:textId="35EA79D7" w:rsidR="008B6570" w:rsidRPr="00137D81" w:rsidRDefault="00137D81" w:rsidP="00137D81">
            <w:pPr>
              <w:jc w:val="both"/>
            </w:pPr>
            <w:r w:rsidRPr="00137D81">
              <w:t>"Public transport limitations and lack of connectivity between communities</w:t>
            </w:r>
            <w:r w:rsidRPr="00137D81">
              <w:t>” and “</w:t>
            </w:r>
            <w:r w:rsidRPr="00137D81">
              <w:t>Lack of amenities for residents along with insufficient use of existing assets and range of employment uses</w:t>
            </w:r>
            <w:r w:rsidRPr="00137D81">
              <w:t xml:space="preserve">” </w:t>
            </w:r>
            <w:r w:rsidRPr="00137D81">
              <w:t>have been added under "Barriers to Inclusive Gro</w:t>
            </w:r>
            <w:r w:rsidRPr="00137D81">
              <w:t>w</w:t>
            </w:r>
            <w:r w:rsidRPr="00137D81">
              <w:t>th".</w:t>
            </w:r>
          </w:p>
        </w:tc>
      </w:tr>
    </w:tbl>
    <w:p w14:paraId="0B96F604" w14:textId="77777777" w:rsidR="008B6570" w:rsidRDefault="008B6570" w:rsidP="00514A66">
      <w:pPr>
        <w:pStyle w:val="ListParagraph"/>
        <w:ind w:hanging="792"/>
      </w:pPr>
    </w:p>
    <w:p w14:paraId="2E1B00A5" w14:textId="4B3495ED" w:rsidR="00B928BB" w:rsidRPr="00B928BB" w:rsidRDefault="00684835" w:rsidP="00514A66">
      <w:pPr>
        <w:pStyle w:val="ListParagraph"/>
        <w:numPr>
          <w:ilvl w:val="1"/>
          <w:numId w:val="37"/>
        </w:numPr>
        <w:ind w:hanging="792"/>
        <w:jc w:val="both"/>
      </w:pPr>
      <w:r w:rsidRPr="00684835">
        <w:rPr>
          <w:rFonts w:cstheme="minorHAnsi"/>
          <w:i/>
          <w:iCs/>
        </w:rPr>
        <w:t>Towards West Edinburgh 2050</w:t>
      </w:r>
      <w:r w:rsidRPr="00684835">
        <w:t xml:space="preserve"> was considered to largely ignore the impact of housing developments in West Lothian (</w:t>
      </w:r>
      <w:r w:rsidRPr="00B928BB">
        <w:t xml:space="preserve">Broxburn, </w:t>
      </w:r>
      <w:proofErr w:type="spellStart"/>
      <w:r w:rsidRPr="00B928BB">
        <w:t>Winchburgh</w:t>
      </w:r>
      <w:proofErr w:type="spellEnd"/>
      <w:r w:rsidRPr="00B928BB">
        <w:t xml:space="preserve">, Kirkliston, East Calder, </w:t>
      </w:r>
      <w:proofErr w:type="spellStart"/>
      <w:r w:rsidRPr="00B928BB">
        <w:t>Wilkieston</w:t>
      </w:r>
      <w:proofErr w:type="spellEnd"/>
      <w:r w:rsidRPr="00B928BB">
        <w:t xml:space="preserve">, etc) on traffic volumes in West Edinburgh, and to fail to address congestion at the Newbridge, Hermiston Gait, and Riccarton roundabouts. The expansion/addition of park-and-rides was suggested as one potential solution. It was suggested that </w:t>
      </w:r>
      <w:r w:rsidRPr="00B928BB">
        <w:rPr>
          <w:rFonts w:cstheme="minorHAnsi"/>
          <w:i/>
          <w:iCs/>
        </w:rPr>
        <w:t>Towards West Edinburgh 2050</w:t>
      </w:r>
      <w:r w:rsidRPr="00B928BB">
        <w:t xml:space="preserve"> should align with the 2020 SEStran park</w:t>
      </w:r>
      <w:r w:rsidR="00880726">
        <w:t>-</w:t>
      </w:r>
      <w:r w:rsidRPr="00B928BB">
        <w:t>an</w:t>
      </w:r>
      <w:r w:rsidR="00880726">
        <w:t>d-</w:t>
      </w:r>
      <w:r w:rsidRPr="00B928BB">
        <w:t>ride strategic study.</w:t>
      </w:r>
      <w:r w:rsidR="00B928BB" w:rsidRPr="00B928BB">
        <w:t xml:space="preserve"> It was suggested that Riccarton park-and-ride should be included in the “Regional Transportation Links” (page 10) given its potential to link to West Lothian.</w:t>
      </w:r>
    </w:p>
    <w:p w14:paraId="43EED60B" w14:textId="77777777" w:rsidR="00B928BB" w:rsidRDefault="00B928BB" w:rsidP="00514A66">
      <w:pPr>
        <w:pStyle w:val="ListParagraph"/>
        <w:ind w:hanging="792"/>
      </w:pPr>
    </w:p>
    <w:tbl>
      <w:tblPr>
        <w:tblStyle w:val="TableGrid"/>
        <w:tblW w:w="0" w:type="auto"/>
        <w:tblInd w:w="-147" w:type="dxa"/>
        <w:tblLook w:val="04A0" w:firstRow="1" w:lastRow="0" w:firstColumn="1" w:lastColumn="0" w:noHBand="0" w:noVBand="1"/>
      </w:tblPr>
      <w:tblGrid>
        <w:gridCol w:w="9163"/>
      </w:tblGrid>
      <w:tr w:rsidR="008B6570" w14:paraId="1352FCED" w14:textId="77777777" w:rsidTr="003F1CE0">
        <w:tc>
          <w:tcPr>
            <w:tcW w:w="9163" w:type="dxa"/>
            <w:shd w:val="clear" w:color="auto" w:fill="D9D9D9" w:themeFill="background1" w:themeFillShade="D9"/>
          </w:tcPr>
          <w:p w14:paraId="24455823" w14:textId="5CC68D87" w:rsidR="008B6570" w:rsidRPr="00514A66" w:rsidRDefault="008B6570" w:rsidP="003F1CE0">
            <w:pPr>
              <w:pStyle w:val="ListParagraph"/>
              <w:ind w:left="0"/>
              <w:jc w:val="center"/>
              <w:rPr>
                <w:b/>
                <w:bCs/>
              </w:rPr>
            </w:pPr>
            <w:r w:rsidRPr="00514A66">
              <w:rPr>
                <w:b/>
                <w:bCs/>
              </w:rPr>
              <w:lastRenderedPageBreak/>
              <w:t>Response</w:t>
            </w:r>
            <w:r>
              <w:rPr>
                <w:b/>
                <w:bCs/>
              </w:rPr>
              <w:t xml:space="preserve"> to comments on transport matters</w:t>
            </w:r>
          </w:p>
        </w:tc>
      </w:tr>
      <w:tr w:rsidR="008B6570" w14:paraId="19270304" w14:textId="77777777" w:rsidTr="003F1CE0">
        <w:tc>
          <w:tcPr>
            <w:tcW w:w="9163" w:type="dxa"/>
          </w:tcPr>
          <w:p w14:paraId="71BDCB23" w14:textId="29C491D5" w:rsidR="008B6570" w:rsidRPr="004728B4" w:rsidRDefault="004728B4" w:rsidP="004728B4">
            <w:pPr>
              <w:jc w:val="both"/>
            </w:pPr>
            <w:r w:rsidRPr="004728B4">
              <w:t>“</w:t>
            </w:r>
            <w:r w:rsidRPr="004728B4">
              <w:t>Various Park and Ride facilities including Riccarton,</w:t>
            </w:r>
            <w:r w:rsidRPr="004728B4">
              <w:t xml:space="preserve"> </w:t>
            </w:r>
            <w:r w:rsidRPr="004728B4">
              <w:t>Ingliston and Edinburgh Gateway</w:t>
            </w:r>
            <w:r w:rsidRPr="004728B4">
              <w:t>” has been added under “Already on the Ground”.</w:t>
            </w:r>
          </w:p>
        </w:tc>
      </w:tr>
    </w:tbl>
    <w:p w14:paraId="38D37BE8" w14:textId="77777777" w:rsidR="008B6570" w:rsidRPr="00B928BB" w:rsidRDefault="008B6570" w:rsidP="00514A66">
      <w:pPr>
        <w:pStyle w:val="ListParagraph"/>
        <w:ind w:hanging="792"/>
      </w:pPr>
    </w:p>
    <w:p w14:paraId="2D17CB33" w14:textId="2F08E511" w:rsidR="00C93F37" w:rsidRDefault="00C93F37" w:rsidP="00514A66">
      <w:pPr>
        <w:pStyle w:val="ListParagraph"/>
        <w:numPr>
          <w:ilvl w:val="1"/>
          <w:numId w:val="37"/>
        </w:numPr>
        <w:ind w:hanging="792"/>
        <w:jc w:val="both"/>
      </w:pPr>
      <w:r w:rsidRPr="00B928BB">
        <w:t xml:space="preserve">Opposition to development to the west of Heriot-Watt University (as set out on page 20) was expressed on the basis that this would contribute to congestion, remove prime agricultural land, and contradict the reference to brownfield sites </w:t>
      </w:r>
      <w:r w:rsidRPr="00C93F37">
        <w:t>(page 25).</w:t>
      </w:r>
      <w:r>
        <w:t xml:space="preserve"> Heriot-Watt University’s campus was suggested as a preferred location due to the existing infrastructure.</w:t>
      </w:r>
    </w:p>
    <w:p w14:paraId="74E8BED7" w14:textId="77777777" w:rsidR="00C93F37" w:rsidRDefault="00C93F37" w:rsidP="00514A66">
      <w:pPr>
        <w:pStyle w:val="ListParagraph"/>
        <w:ind w:hanging="792"/>
      </w:pPr>
    </w:p>
    <w:tbl>
      <w:tblPr>
        <w:tblStyle w:val="TableGrid"/>
        <w:tblW w:w="0" w:type="auto"/>
        <w:tblInd w:w="-147" w:type="dxa"/>
        <w:tblLook w:val="04A0" w:firstRow="1" w:lastRow="0" w:firstColumn="1" w:lastColumn="0" w:noHBand="0" w:noVBand="1"/>
      </w:tblPr>
      <w:tblGrid>
        <w:gridCol w:w="9163"/>
      </w:tblGrid>
      <w:tr w:rsidR="008B6570" w14:paraId="549ADEEA" w14:textId="77777777" w:rsidTr="003F1CE0">
        <w:tc>
          <w:tcPr>
            <w:tcW w:w="9163" w:type="dxa"/>
            <w:shd w:val="clear" w:color="auto" w:fill="D9D9D9" w:themeFill="background1" w:themeFillShade="D9"/>
          </w:tcPr>
          <w:p w14:paraId="577C3F72" w14:textId="64F95F8D" w:rsidR="008B6570" w:rsidRPr="00514A66" w:rsidRDefault="008B6570" w:rsidP="003F1CE0">
            <w:pPr>
              <w:pStyle w:val="ListParagraph"/>
              <w:ind w:left="0"/>
              <w:jc w:val="center"/>
              <w:rPr>
                <w:b/>
                <w:bCs/>
              </w:rPr>
            </w:pPr>
            <w:r w:rsidRPr="00514A66">
              <w:rPr>
                <w:b/>
                <w:bCs/>
              </w:rPr>
              <w:t>Response</w:t>
            </w:r>
            <w:r>
              <w:rPr>
                <w:b/>
                <w:bCs/>
              </w:rPr>
              <w:t xml:space="preserve"> to comments on development to the west of Heriot-Watt University</w:t>
            </w:r>
          </w:p>
        </w:tc>
      </w:tr>
      <w:tr w:rsidR="008B6570" w14:paraId="0098866F" w14:textId="77777777" w:rsidTr="003F1CE0">
        <w:tc>
          <w:tcPr>
            <w:tcW w:w="9163" w:type="dxa"/>
          </w:tcPr>
          <w:p w14:paraId="5466A36E" w14:textId="14DE4841" w:rsidR="008B6570" w:rsidRPr="004728B4" w:rsidRDefault="004728B4" w:rsidP="003F1CE0">
            <w:pPr>
              <w:pStyle w:val="ListParagraph"/>
              <w:ind w:left="0"/>
              <w:jc w:val="both"/>
            </w:pPr>
            <w:r w:rsidRPr="004728B4">
              <w:t>No change made at this time. Specific land use allocations will be carried out via the City Plan process.</w:t>
            </w:r>
          </w:p>
        </w:tc>
      </w:tr>
    </w:tbl>
    <w:p w14:paraId="3F19AFDB" w14:textId="77777777" w:rsidR="008B6570" w:rsidRPr="00CC44C1" w:rsidRDefault="008B6570" w:rsidP="00514A66">
      <w:pPr>
        <w:pStyle w:val="ListParagraph"/>
        <w:ind w:hanging="792"/>
      </w:pPr>
    </w:p>
    <w:p w14:paraId="04CAD8B8" w14:textId="03001E53" w:rsidR="00C93F37" w:rsidRPr="00CC44C1" w:rsidRDefault="00C93F37" w:rsidP="00514A66">
      <w:pPr>
        <w:pStyle w:val="ListParagraph"/>
        <w:numPr>
          <w:ilvl w:val="1"/>
          <w:numId w:val="37"/>
        </w:numPr>
        <w:ind w:hanging="792"/>
        <w:jc w:val="both"/>
      </w:pPr>
      <w:r w:rsidRPr="00CC44C1">
        <w:t xml:space="preserve">The Economic Growth section of </w:t>
      </w:r>
      <w:r w:rsidRPr="00CC44C1">
        <w:rPr>
          <w:rFonts w:cstheme="minorHAnsi"/>
          <w:i/>
          <w:iCs/>
        </w:rPr>
        <w:t>Towards West Edinburgh 2050</w:t>
      </w:r>
      <w:r w:rsidRPr="00CC44C1">
        <w:t xml:space="preserve"> was considered to omit the importance of Heriot-Watt Research Park and its future expansion.</w:t>
      </w:r>
      <w:r w:rsidR="00B928BB" w:rsidRPr="00CC44C1">
        <w:t xml:space="preserve"> It was suggested Heriot-Watt Research Park should be included in the list of businesses and commercial enterprises (page 10).</w:t>
      </w:r>
      <w:r w:rsidRPr="00CC44C1">
        <w:t xml:space="preserve"> Heriot-Watt Research Park was suggested as being a preferred location for an energy hub over Newbridge.</w:t>
      </w:r>
      <w:r w:rsidR="00CC44C1" w:rsidRPr="00CC44C1">
        <w:t xml:space="preserve"> The role of Heriot-Watt University, Edinburgh Napier University, and Edinburgh College in attracting knowledge-based businesses to West Edinburgh was recommended to be noted in </w:t>
      </w:r>
      <w:r w:rsidR="00CC44C1" w:rsidRPr="00CC44C1">
        <w:rPr>
          <w:rFonts w:cstheme="minorHAnsi"/>
          <w:i/>
          <w:iCs/>
        </w:rPr>
        <w:t>Towards West Edinburgh 2050</w:t>
      </w:r>
      <w:r w:rsidR="00CC44C1" w:rsidRPr="00CC44C1">
        <w:t>.</w:t>
      </w:r>
    </w:p>
    <w:p w14:paraId="16151499" w14:textId="77777777" w:rsidR="00C93F37" w:rsidRDefault="00C93F37" w:rsidP="00514A66">
      <w:pPr>
        <w:pStyle w:val="ListParagraph"/>
        <w:ind w:hanging="792"/>
        <w:rPr>
          <w:color w:val="FF0000"/>
        </w:rPr>
      </w:pPr>
    </w:p>
    <w:tbl>
      <w:tblPr>
        <w:tblStyle w:val="TableGrid"/>
        <w:tblW w:w="0" w:type="auto"/>
        <w:tblInd w:w="-147" w:type="dxa"/>
        <w:tblLook w:val="04A0" w:firstRow="1" w:lastRow="0" w:firstColumn="1" w:lastColumn="0" w:noHBand="0" w:noVBand="1"/>
      </w:tblPr>
      <w:tblGrid>
        <w:gridCol w:w="9163"/>
      </w:tblGrid>
      <w:tr w:rsidR="008B6570" w14:paraId="7A5757DD" w14:textId="77777777" w:rsidTr="003F1CE0">
        <w:tc>
          <w:tcPr>
            <w:tcW w:w="9163" w:type="dxa"/>
            <w:shd w:val="clear" w:color="auto" w:fill="D9D9D9" w:themeFill="background1" w:themeFillShade="D9"/>
          </w:tcPr>
          <w:p w14:paraId="345D4CC8" w14:textId="336C1B0C" w:rsidR="008B6570" w:rsidRPr="00514A66" w:rsidRDefault="008B6570" w:rsidP="003F1CE0">
            <w:pPr>
              <w:pStyle w:val="ListParagraph"/>
              <w:ind w:left="0"/>
              <w:jc w:val="center"/>
              <w:rPr>
                <w:b/>
                <w:bCs/>
              </w:rPr>
            </w:pPr>
            <w:r w:rsidRPr="00514A66">
              <w:rPr>
                <w:b/>
                <w:bCs/>
              </w:rPr>
              <w:t>Response</w:t>
            </w:r>
            <w:r>
              <w:rPr>
                <w:b/>
                <w:bCs/>
              </w:rPr>
              <w:t xml:space="preserve"> to comments on the role of universities </w:t>
            </w:r>
          </w:p>
        </w:tc>
      </w:tr>
      <w:tr w:rsidR="008B6570" w14:paraId="45BE269C" w14:textId="77777777" w:rsidTr="003F1CE0">
        <w:tc>
          <w:tcPr>
            <w:tcW w:w="9163" w:type="dxa"/>
          </w:tcPr>
          <w:p w14:paraId="03D2B6DE" w14:textId="053E7627" w:rsidR="008B6570" w:rsidRPr="00D47EB2" w:rsidRDefault="00D47EB2" w:rsidP="003F1CE0">
            <w:pPr>
              <w:pStyle w:val="ListParagraph"/>
              <w:ind w:left="0"/>
              <w:jc w:val="both"/>
            </w:pPr>
            <w:r w:rsidRPr="00D47EB2">
              <w:t xml:space="preserve">Reference to Heriot-Watt University has been added under </w:t>
            </w:r>
            <w:r w:rsidRPr="00D47EB2">
              <w:t>"Already on the ground" and "Guiding Principles"</w:t>
            </w:r>
            <w:r w:rsidRPr="00D47EB2">
              <w:t>.</w:t>
            </w:r>
          </w:p>
        </w:tc>
      </w:tr>
    </w:tbl>
    <w:p w14:paraId="4F596AA6" w14:textId="77777777" w:rsidR="008B6570" w:rsidRDefault="008B6570" w:rsidP="00514A66">
      <w:pPr>
        <w:pStyle w:val="ListParagraph"/>
        <w:ind w:hanging="792"/>
        <w:rPr>
          <w:color w:val="FF0000"/>
        </w:rPr>
      </w:pPr>
    </w:p>
    <w:p w14:paraId="68E0D4C5" w14:textId="142193F8" w:rsidR="000C277F" w:rsidRDefault="00F1702F" w:rsidP="00514A66">
      <w:pPr>
        <w:pStyle w:val="ListParagraph"/>
        <w:numPr>
          <w:ilvl w:val="1"/>
          <w:numId w:val="37"/>
        </w:numPr>
        <w:ind w:hanging="792"/>
        <w:jc w:val="both"/>
      </w:pPr>
      <w:r>
        <w:t xml:space="preserve">The Royal Highland Showground was noted as being </w:t>
      </w:r>
      <w:r w:rsidRPr="00F1702F">
        <w:t>identified (page 9) as lying within an area of mono-functional development; this was felt to be incorrect given the range of uses on the site.</w:t>
      </w:r>
    </w:p>
    <w:p w14:paraId="7F34A623" w14:textId="77777777" w:rsidR="00AC068C" w:rsidRDefault="00AC068C" w:rsidP="00514A66">
      <w:pPr>
        <w:pStyle w:val="ListParagraph"/>
        <w:ind w:hanging="792"/>
      </w:pPr>
    </w:p>
    <w:tbl>
      <w:tblPr>
        <w:tblStyle w:val="TableGrid"/>
        <w:tblW w:w="0" w:type="auto"/>
        <w:tblInd w:w="-147" w:type="dxa"/>
        <w:tblLook w:val="04A0" w:firstRow="1" w:lastRow="0" w:firstColumn="1" w:lastColumn="0" w:noHBand="0" w:noVBand="1"/>
      </w:tblPr>
      <w:tblGrid>
        <w:gridCol w:w="9163"/>
      </w:tblGrid>
      <w:tr w:rsidR="008B6570" w14:paraId="68CB38AD" w14:textId="77777777" w:rsidTr="003F1CE0">
        <w:tc>
          <w:tcPr>
            <w:tcW w:w="9163" w:type="dxa"/>
            <w:shd w:val="clear" w:color="auto" w:fill="D9D9D9" w:themeFill="background1" w:themeFillShade="D9"/>
          </w:tcPr>
          <w:p w14:paraId="4DDB1541" w14:textId="74B26963" w:rsidR="008B6570" w:rsidRPr="00514A66" w:rsidRDefault="008B6570" w:rsidP="003F1CE0">
            <w:pPr>
              <w:pStyle w:val="ListParagraph"/>
              <w:ind w:left="0"/>
              <w:jc w:val="center"/>
              <w:rPr>
                <w:b/>
                <w:bCs/>
              </w:rPr>
            </w:pPr>
            <w:r w:rsidRPr="00514A66">
              <w:rPr>
                <w:b/>
                <w:bCs/>
              </w:rPr>
              <w:t>Response</w:t>
            </w:r>
            <w:r>
              <w:rPr>
                <w:b/>
                <w:bCs/>
              </w:rPr>
              <w:t xml:space="preserve"> to comments on the Royal Highland Showground</w:t>
            </w:r>
          </w:p>
        </w:tc>
      </w:tr>
      <w:tr w:rsidR="008B6570" w14:paraId="5370C1A0" w14:textId="77777777" w:rsidTr="003F1CE0">
        <w:tc>
          <w:tcPr>
            <w:tcW w:w="9163" w:type="dxa"/>
          </w:tcPr>
          <w:p w14:paraId="574A2B6C" w14:textId="45A9767E" w:rsidR="008B6570" w:rsidRPr="00D47EB2" w:rsidRDefault="00D47EB2" w:rsidP="003F1CE0">
            <w:pPr>
              <w:pStyle w:val="ListParagraph"/>
              <w:ind w:left="0"/>
              <w:jc w:val="both"/>
            </w:pPr>
            <w:r w:rsidRPr="00D47EB2">
              <w:t>Reference removed.</w:t>
            </w:r>
          </w:p>
        </w:tc>
      </w:tr>
    </w:tbl>
    <w:p w14:paraId="212CC700" w14:textId="77777777" w:rsidR="008B6570" w:rsidRDefault="008B6570" w:rsidP="00514A66">
      <w:pPr>
        <w:pStyle w:val="ListParagraph"/>
        <w:ind w:hanging="792"/>
      </w:pPr>
    </w:p>
    <w:p w14:paraId="5F1037DC" w14:textId="0148DD1B" w:rsidR="004A4740" w:rsidRDefault="00AC068C" w:rsidP="00514A66">
      <w:pPr>
        <w:pStyle w:val="ListParagraph"/>
        <w:numPr>
          <w:ilvl w:val="1"/>
          <w:numId w:val="37"/>
        </w:numPr>
        <w:ind w:hanging="792"/>
        <w:jc w:val="both"/>
      </w:pPr>
      <w:r>
        <w:t xml:space="preserve">Edinburgh Airport was recommended to be recognised in </w:t>
      </w:r>
      <w:r w:rsidRPr="00AC068C">
        <w:rPr>
          <w:rFonts w:cstheme="minorHAnsi"/>
          <w:i/>
          <w:iCs/>
        </w:rPr>
        <w:t>Towards West Edinburgh 2050</w:t>
      </w:r>
      <w:r w:rsidRPr="00DB261C">
        <w:t xml:space="preserve"> </w:t>
      </w:r>
      <w:r>
        <w:t>as a key defining feature of West Edinburgh (page 4) and as a major employer and growing business (page 10, page 17</w:t>
      </w:r>
      <w:r w:rsidR="00E65AFA">
        <w:t>, page 20</w:t>
      </w:r>
      <w:r>
        <w:t xml:space="preserve">). The description of the Central Corridor was </w:t>
      </w:r>
      <w:r w:rsidRPr="00AC068C">
        <w:t>recommended to be expanded to include aviation, commerce, industry, tourism, and sustainable energy.</w:t>
      </w:r>
      <w:r w:rsidR="00E65AFA">
        <w:t xml:space="preserve"> The spatial barriers plan (page 7) was proposed to be amended to identify a lack of active travel connections to Edinburgh Airport, while the guiding principles (page 14) and Connectivity section (page 18) were proposed to be amended to include a connection to </w:t>
      </w:r>
      <w:r w:rsidR="00001DAC">
        <w:t>Edinburgh A</w:t>
      </w:r>
      <w:r w:rsidR="00E65AFA">
        <w:t>irport. The Tackling Inequality section (page 20) was proposed to be updated to include major employment opportunities, including opportunities for new employment space at the Airport, Crosswinds, Gogarburn, and Ingliston. It was noted that the bottom three designations on the plan on page 20 do not appear on the map.</w:t>
      </w:r>
    </w:p>
    <w:p w14:paraId="2338ADDA" w14:textId="77777777" w:rsidR="004A4740" w:rsidRDefault="004A4740" w:rsidP="00514A66">
      <w:pPr>
        <w:pStyle w:val="ListParagraph"/>
        <w:ind w:hanging="792"/>
      </w:pPr>
    </w:p>
    <w:tbl>
      <w:tblPr>
        <w:tblStyle w:val="TableGrid"/>
        <w:tblW w:w="0" w:type="auto"/>
        <w:tblInd w:w="-147" w:type="dxa"/>
        <w:tblLook w:val="04A0" w:firstRow="1" w:lastRow="0" w:firstColumn="1" w:lastColumn="0" w:noHBand="0" w:noVBand="1"/>
      </w:tblPr>
      <w:tblGrid>
        <w:gridCol w:w="9163"/>
      </w:tblGrid>
      <w:tr w:rsidR="008B6570" w14:paraId="216EE0C7" w14:textId="77777777" w:rsidTr="003F1CE0">
        <w:tc>
          <w:tcPr>
            <w:tcW w:w="9163" w:type="dxa"/>
            <w:shd w:val="clear" w:color="auto" w:fill="D9D9D9" w:themeFill="background1" w:themeFillShade="D9"/>
          </w:tcPr>
          <w:p w14:paraId="3CE111A6" w14:textId="0EF4C618" w:rsidR="008B6570" w:rsidRPr="00514A66" w:rsidRDefault="008B6570" w:rsidP="003F1CE0">
            <w:pPr>
              <w:pStyle w:val="ListParagraph"/>
              <w:ind w:left="0"/>
              <w:jc w:val="center"/>
              <w:rPr>
                <w:b/>
                <w:bCs/>
              </w:rPr>
            </w:pPr>
            <w:r w:rsidRPr="00514A66">
              <w:rPr>
                <w:b/>
                <w:bCs/>
              </w:rPr>
              <w:t>Response</w:t>
            </w:r>
            <w:r>
              <w:rPr>
                <w:b/>
                <w:bCs/>
              </w:rPr>
              <w:t xml:space="preserve"> to comments on Edinburgh Airport</w:t>
            </w:r>
          </w:p>
        </w:tc>
      </w:tr>
      <w:tr w:rsidR="008B6570" w14:paraId="06C83139" w14:textId="77777777" w:rsidTr="003F1CE0">
        <w:tc>
          <w:tcPr>
            <w:tcW w:w="9163" w:type="dxa"/>
          </w:tcPr>
          <w:p w14:paraId="35B1F31B" w14:textId="07A15860" w:rsidR="008B6570" w:rsidRPr="009F0A91" w:rsidRDefault="00D47EB2" w:rsidP="00D47EB2">
            <w:pPr>
              <w:jc w:val="both"/>
            </w:pPr>
            <w:r w:rsidRPr="009F0A91">
              <w:t>“</w:t>
            </w:r>
            <w:r w:rsidRPr="009F0A91">
              <w:t>Improve active travel connections</w:t>
            </w:r>
            <w:r w:rsidRPr="009F0A91">
              <w:t xml:space="preserve"> </w:t>
            </w:r>
            <w:r w:rsidRPr="009F0A91">
              <w:t>within this area</w:t>
            </w:r>
            <w:r w:rsidRPr="009F0A91">
              <w:t>” has been added under “Guiding Principles”. The text “</w:t>
            </w:r>
            <w:r w:rsidRPr="009F0A91">
              <w:t>and key sites</w:t>
            </w:r>
            <w:r w:rsidRPr="009F0A91">
              <w:t>” has been added under “Connectivity”.</w:t>
            </w:r>
            <w:r w:rsidR="009F0A91" w:rsidRPr="009F0A91">
              <w:t xml:space="preserve"> The “Tackling Inequality” diagram has been corrected.</w:t>
            </w:r>
          </w:p>
        </w:tc>
      </w:tr>
    </w:tbl>
    <w:p w14:paraId="0A24B283" w14:textId="77777777" w:rsidR="008B6570" w:rsidRPr="00F1702F" w:rsidRDefault="008B6570" w:rsidP="00514A66">
      <w:pPr>
        <w:pStyle w:val="ListParagraph"/>
        <w:ind w:hanging="792"/>
      </w:pPr>
    </w:p>
    <w:p w14:paraId="34DA36FD" w14:textId="52D41758" w:rsidR="00F1702F" w:rsidRDefault="00F1702F" w:rsidP="00514A66">
      <w:pPr>
        <w:pStyle w:val="ListParagraph"/>
        <w:numPr>
          <w:ilvl w:val="1"/>
          <w:numId w:val="37"/>
        </w:numPr>
        <w:ind w:hanging="792"/>
        <w:jc w:val="both"/>
      </w:pPr>
      <w:r w:rsidRPr="00F1702F">
        <w:lastRenderedPageBreak/>
        <w:t>The extent of the north-south biodiverse active travel</w:t>
      </w:r>
      <w:r w:rsidR="008B6570">
        <w:t xml:space="preserve"> routes</w:t>
      </w:r>
      <w:r w:rsidRPr="00F1702F">
        <w:t xml:space="preserve"> and/or blue-green connections proposed to be delivered under the strategy was queried.</w:t>
      </w:r>
    </w:p>
    <w:p w14:paraId="7701A0DD" w14:textId="77777777" w:rsidR="00274504" w:rsidRDefault="00274504" w:rsidP="00514A66">
      <w:pPr>
        <w:pStyle w:val="ListParagraph"/>
        <w:ind w:hanging="792"/>
      </w:pPr>
    </w:p>
    <w:tbl>
      <w:tblPr>
        <w:tblStyle w:val="TableGrid"/>
        <w:tblW w:w="0" w:type="auto"/>
        <w:tblInd w:w="-147" w:type="dxa"/>
        <w:tblLook w:val="04A0" w:firstRow="1" w:lastRow="0" w:firstColumn="1" w:lastColumn="0" w:noHBand="0" w:noVBand="1"/>
      </w:tblPr>
      <w:tblGrid>
        <w:gridCol w:w="9163"/>
      </w:tblGrid>
      <w:tr w:rsidR="008B6570" w14:paraId="341F75CF" w14:textId="77777777" w:rsidTr="003F1CE0">
        <w:tc>
          <w:tcPr>
            <w:tcW w:w="9163" w:type="dxa"/>
            <w:shd w:val="clear" w:color="auto" w:fill="D9D9D9" w:themeFill="background1" w:themeFillShade="D9"/>
          </w:tcPr>
          <w:p w14:paraId="56D13D09" w14:textId="48DCD327" w:rsidR="008B6570" w:rsidRPr="00514A66" w:rsidRDefault="008B6570" w:rsidP="003F1CE0">
            <w:pPr>
              <w:pStyle w:val="ListParagraph"/>
              <w:ind w:left="0"/>
              <w:jc w:val="center"/>
              <w:rPr>
                <w:b/>
                <w:bCs/>
              </w:rPr>
            </w:pPr>
            <w:r w:rsidRPr="00514A66">
              <w:rPr>
                <w:b/>
                <w:bCs/>
              </w:rPr>
              <w:t>Response</w:t>
            </w:r>
            <w:r>
              <w:rPr>
                <w:b/>
                <w:bCs/>
              </w:rPr>
              <w:t xml:space="preserve"> to comments on </w:t>
            </w:r>
            <w:r w:rsidR="00463B08">
              <w:rPr>
                <w:b/>
                <w:bCs/>
              </w:rPr>
              <w:t>north-south biodiverse active travel routes and blue-green connections</w:t>
            </w:r>
          </w:p>
        </w:tc>
      </w:tr>
      <w:tr w:rsidR="008B6570" w14:paraId="6EB06B5A" w14:textId="77777777" w:rsidTr="003F1CE0">
        <w:tc>
          <w:tcPr>
            <w:tcW w:w="9163" w:type="dxa"/>
          </w:tcPr>
          <w:p w14:paraId="35F7637C" w14:textId="5A0C5643" w:rsidR="008B6570" w:rsidRPr="00250A3B" w:rsidRDefault="00250A3B" w:rsidP="003F1CE0">
            <w:pPr>
              <w:pStyle w:val="ListParagraph"/>
              <w:ind w:left="0"/>
              <w:jc w:val="both"/>
            </w:pPr>
            <w:r w:rsidRPr="00250A3B">
              <w:t>This information is not yet confirmed. No changes made at this time.</w:t>
            </w:r>
          </w:p>
        </w:tc>
      </w:tr>
    </w:tbl>
    <w:p w14:paraId="37947ECD" w14:textId="77777777" w:rsidR="008B6570" w:rsidRDefault="008B6570" w:rsidP="00514A66">
      <w:pPr>
        <w:pStyle w:val="ListParagraph"/>
        <w:ind w:hanging="792"/>
      </w:pPr>
    </w:p>
    <w:p w14:paraId="2AF087F9" w14:textId="7A27BFDE" w:rsidR="00880726" w:rsidRDefault="00274504" w:rsidP="00880726">
      <w:pPr>
        <w:pStyle w:val="ListParagraph"/>
        <w:numPr>
          <w:ilvl w:val="1"/>
          <w:numId w:val="37"/>
        </w:numPr>
        <w:ind w:hanging="792"/>
        <w:jc w:val="both"/>
      </w:pPr>
      <w:r>
        <w:t>The extension of the tram westward was noted as being showing in the connectivity discussions (</w:t>
      </w:r>
      <w:r w:rsidRPr="00684835">
        <w:t xml:space="preserve">page 18) but omitted from the programme. </w:t>
      </w:r>
      <w:r w:rsidR="00684835" w:rsidRPr="00684835">
        <w:t xml:space="preserve">It was suggested that, for the westward expansion of the tram to have the greatest impact, it should include Riccarton park-and-ride, Heriot-Watt University, and </w:t>
      </w:r>
      <w:proofErr w:type="spellStart"/>
      <w:r w:rsidR="00684835" w:rsidRPr="00684835">
        <w:t>Curriehill</w:t>
      </w:r>
      <w:proofErr w:type="spellEnd"/>
      <w:r w:rsidR="00684835" w:rsidRPr="00684835">
        <w:t xml:space="preserve"> Railway Station. </w:t>
      </w:r>
      <w:r w:rsidR="00880726">
        <w:t>The section on regional transportation links (page 10) was noted as omitting reference of the extension of the tram line to Leith/Newhaven.</w:t>
      </w:r>
    </w:p>
    <w:p w14:paraId="71C7B9A4" w14:textId="77777777" w:rsidR="00880726" w:rsidRDefault="00880726" w:rsidP="00514A66">
      <w:pPr>
        <w:pStyle w:val="ListParagraph"/>
        <w:ind w:hanging="792"/>
      </w:pPr>
    </w:p>
    <w:tbl>
      <w:tblPr>
        <w:tblStyle w:val="TableGrid"/>
        <w:tblW w:w="0" w:type="auto"/>
        <w:tblInd w:w="-147" w:type="dxa"/>
        <w:tblLook w:val="04A0" w:firstRow="1" w:lastRow="0" w:firstColumn="1" w:lastColumn="0" w:noHBand="0" w:noVBand="1"/>
      </w:tblPr>
      <w:tblGrid>
        <w:gridCol w:w="9163"/>
      </w:tblGrid>
      <w:tr w:rsidR="00463B08" w14:paraId="79623118" w14:textId="77777777" w:rsidTr="003F1CE0">
        <w:tc>
          <w:tcPr>
            <w:tcW w:w="9163" w:type="dxa"/>
            <w:shd w:val="clear" w:color="auto" w:fill="D9D9D9" w:themeFill="background1" w:themeFillShade="D9"/>
          </w:tcPr>
          <w:p w14:paraId="47AAAAAB" w14:textId="40DA75BA" w:rsidR="00463B08" w:rsidRPr="00514A66" w:rsidRDefault="00463B08" w:rsidP="003F1CE0">
            <w:pPr>
              <w:pStyle w:val="ListParagraph"/>
              <w:ind w:left="0"/>
              <w:jc w:val="center"/>
              <w:rPr>
                <w:b/>
                <w:bCs/>
              </w:rPr>
            </w:pPr>
            <w:r w:rsidRPr="00514A66">
              <w:rPr>
                <w:b/>
                <w:bCs/>
              </w:rPr>
              <w:t>Response</w:t>
            </w:r>
            <w:r>
              <w:rPr>
                <w:b/>
                <w:bCs/>
              </w:rPr>
              <w:t xml:space="preserve"> to comments on tram extension</w:t>
            </w:r>
          </w:p>
        </w:tc>
      </w:tr>
      <w:tr w:rsidR="00463B08" w14:paraId="3EE244F4" w14:textId="77777777" w:rsidTr="003F1CE0">
        <w:tc>
          <w:tcPr>
            <w:tcW w:w="9163" w:type="dxa"/>
          </w:tcPr>
          <w:p w14:paraId="470250CB" w14:textId="34715E49" w:rsidR="00463B08" w:rsidRPr="00250A3B" w:rsidRDefault="00250A3B" w:rsidP="003F1CE0">
            <w:pPr>
              <w:pStyle w:val="ListParagraph"/>
              <w:ind w:left="0"/>
              <w:jc w:val="both"/>
            </w:pPr>
            <w:r w:rsidRPr="00250A3B">
              <w:t>The tram extension has been referenced under “</w:t>
            </w:r>
            <w:r w:rsidRPr="00250A3B">
              <w:t>Already on the ground</w:t>
            </w:r>
            <w:r w:rsidRPr="00250A3B">
              <w:t xml:space="preserve">”. The diagram under “Connectivity” has </w:t>
            </w:r>
            <w:r w:rsidRPr="00250A3B">
              <w:t xml:space="preserve">been updated to show the MRT/Tramline extension connecting to </w:t>
            </w:r>
            <w:proofErr w:type="spellStart"/>
            <w:r w:rsidRPr="00250A3B">
              <w:t>Curriehill</w:t>
            </w:r>
            <w:proofErr w:type="spellEnd"/>
            <w:r w:rsidRPr="00250A3B">
              <w:t xml:space="preserve"> station</w:t>
            </w:r>
            <w:r w:rsidRPr="00250A3B">
              <w:t>.</w:t>
            </w:r>
          </w:p>
        </w:tc>
      </w:tr>
    </w:tbl>
    <w:p w14:paraId="44BDFD49" w14:textId="77777777" w:rsidR="00463B08" w:rsidRPr="00684835" w:rsidRDefault="00463B08" w:rsidP="00514A66">
      <w:pPr>
        <w:pStyle w:val="ListParagraph"/>
        <w:ind w:hanging="792"/>
      </w:pPr>
    </w:p>
    <w:p w14:paraId="17E8F195" w14:textId="177063F7" w:rsidR="00812C52" w:rsidRDefault="00274504" w:rsidP="00514A66">
      <w:pPr>
        <w:pStyle w:val="ListParagraph"/>
        <w:numPr>
          <w:ilvl w:val="1"/>
          <w:numId w:val="37"/>
        </w:numPr>
        <w:ind w:hanging="792"/>
        <w:jc w:val="both"/>
      </w:pPr>
      <w:r w:rsidRPr="00684835">
        <w:t xml:space="preserve">The reference to no new road building (page 18) was queried in terms whether this related only to </w:t>
      </w:r>
      <w:r w:rsidRPr="00684835">
        <w:rPr>
          <w:i/>
          <w:iCs/>
        </w:rPr>
        <w:t>strategic</w:t>
      </w:r>
      <w:r w:rsidRPr="00684835">
        <w:t xml:space="preserve"> </w:t>
      </w:r>
      <w:r w:rsidRPr="00274504">
        <w:t xml:space="preserve">roads. </w:t>
      </w:r>
      <w:r w:rsidR="00812C52">
        <w:t xml:space="preserve">A new Airport access route linking to the </w:t>
      </w:r>
      <w:proofErr w:type="spellStart"/>
      <w:r w:rsidR="00812C52">
        <w:t>Gogar</w:t>
      </w:r>
      <w:proofErr w:type="spellEnd"/>
      <w:r w:rsidR="00812C52">
        <w:t xml:space="preserve"> Roundabout was supported.</w:t>
      </w:r>
    </w:p>
    <w:p w14:paraId="3B3AD324" w14:textId="77777777" w:rsidR="00812C52" w:rsidRDefault="00812C52" w:rsidP="00514A66">
      <w:pPr>
        <w:pStyle w:val="ListParagraph"/>
        <w:ind w:left="792" w:hanging="792"/>
        <w:jc w:val="both"/>
      </w:pPr>
    </w:p>
    <w:tbl>
      <w:tblPr>
        <w:tblStyle w:val="TableGrid"/>
        <w:tblW w:w="0" w:type="auto"/>
        <w:tblInd w:w="-147" w:type="dxa"/>
        <w:tblLook w:val="04A0" w:firstRow="1" w:lastRow="0" w:firstColumn="1" w:lastColumn="0" w:noHBand="0" w:noVBand="1"/>
      </w:tblPr>
      <w:tblGrid>
        <w:gridCol w:w="9163"/>
      </w:tblGrid>
      <w:tr w:rsidR="00463B08" w14:paraId="2E4D428F" w14:textId="77777777" w:rsidTr="003F1CE0">
        <w:tc>
          <w:tcPr>
            <w:tcW w:w="9163" w:type="dxa"/>
            <w:shd w:val="clear" w:color="auto" w:fill="D9D9D9" w:themeFill="background1" w:themeFillShade="D9"/>
          </w:tcPr>
          <w:p w14:paraId="1B1C78A6" w14:textId="3572DE9F" w:rsidR="00463B08" w:rsidRPr="00514A66" w:rsidRDefault="00463B08" w:rsidP="003F1CE0">
            <w:pPr>
              <w:pStyle w:val="ListParagraph"/>
              <w:ind w:left="0"/>
              <w:jc w:val="center"/>
              <w:rPr>
                <w:b/>
                <w:bCs/>
              </w:rPr>
            </w:pPr>
            <w:r w:rsidRPr="00514A66">
              <w:rPr>
                <w:b/>
                <w:bCs/>
              </w:rPr>
              <w:t>Response</w:t>
            </w:r>
            <w:r>
              <w:rPr>
                <w:b/>
                <w:bCs/>
              </w:rPr>
              <w:t xml:space="preserve"> to comments on road building</w:t>
            </w:r>
          </w:p>
        </w:tc>
      </w:tr>
      <w:tr w:rsidR="00463B08" w14:paraId="2F9453AB" w14:textId="77777777" w:rsidTr="003F1CE0">
        <w:tc>
          <w:tcPr>
            <w:tcW w:w="9163" w:type="dxa"/>
          </w:tcPr>
          <w:p w14:paraId="64FF4203" w14:textId="3F911FF6" w:rsidR="00463B08" w:rsidRPr="00250A3B" w:rsidRDefault="00250A3B" w:rsidP="003F1CE0">
            <w:pPr>
              <w:pStyle w:val="ListParagraph"/>
              <w:ind w:left="0"/>
              <w:jc w:val="both"/>
            </w:pPr>
            <w:r w:rsidRPr="00250A3B">
              <w:t>The text “</w:t>
            </w:r>
            <w:r w:rsidRPr="00250A3B">
              <w:t>No major, new, strategic road building</w:t>
            </w:r>
            <w:r w:rsidRPr="00250A3B">
              <w:t>” has been added under “Connectivity” for clarity.</w:t>
            </w:r>
          </w:p>
        </w:tc>
      </w:tr>
    </w:tbl>
    <w:p w14:paraId="7F9891C0" w14:textId="77777777" w:rsidR="00463B08" w:rsidRPr="00274504" w:rsidRDefault="00463B08" w:rsidP="00514A66">
      <w:pPr>
        <w:pStyle w:val="ListParagraph"/>
        <w:ind w:left="792" w:hanging="792"/>
        <w:jc w:val="both"/>
      </w:pPr>
    </w:p>
    <w:p w14:paraId="4B64C06C" w14:textId="6983A1D0" w:rsidR="00BF5605" w:rsidRPr="00120891" w:rsidRDefault="000952C3" w:rsidP="00514A66">
      <w:pPr>
        <w:pStyle w:val="ListParagraph"/>
        <w:numPr>
          <w:ilvl w:val="1"/>
          <w:numId w:val="37"/>
        </w:numPr>
        <w:ind w:hanging="792"/>
        <w:jc w:val="both"/>
        <w:rPr>
          <w:color w:val="FF0000"/>
        </w:rPr>
      </w:pPr>
      <w:r w:rsidRPr="00274504">
        <w:t>The “</w:t>
      </w:r>
      <w:r w:rsidR="00BF5605" w:rsidRPr="00274504">
        <w:t>Key Defining Feature</w:t>
      </w:r>
      <w:r w:rsidRPr="00274504">
        <w:t>s”</w:t>
      </w:r>
      <w:r w:rsidR="00BF5605" w:rsidRPr="00274504">
        <w:t xml:space="preserve"> of West Edinburgh</w:t>
      </w:r>
      <w:r w:rsidRPr="00274504">
        <w:t xml:space="preserve"> was suggested to be updated to reflect that </w:t>
      </w:r>
      <w:r w:rsidR="00BF5605" w:rsidRPr="00274504">
        <w:t xml:space="preserve">Ratho </w:t>
      </w:r>
      <w:r w:rsidRPr="00274504">
        <w:t>is</w:t>
      </w:r>
      <w:r w:rsidR="00BF5605" w:rsidRPr="00274504">
        <w:t xml:space="preserve"> an established </w:t>
      </w:r>
      <w:r w:rsidR="00BF5605" w:rsidRPr="000952C3">
        <w:t>residential settlement</w:t>
      </w:r>
      <w:r w:rsidRPr="000952C3">
        <w:t>, while the description of the “</w:t>
      </w:r>
      <w:r w:rsidR="00BF5605" w:rsidRPr="000952C3">
        <w:t>Farmlands and Settlements</w:t>
      </w:r>
      <w:r w:rsidRPr="000952C3">
        <w:t>”</w:t>
      </w:r>
      <w:r w:rsidR="00BF5605" w:rsidRPr="000952C3">
        <w:t xml:space="preserve"> character area</w:t>
      </w:r>
      <w:r w:rsidRPr="000952C3">
        <w:t xml:space="preserve"> was not felt to reflect the </w:t>
      </w:r>
      <w:r w:rsidR="00BF5605" w:rsidRPr="000952C3">
        <w:t>development potential of</w:t>
      </w:r>
      <w:r>
        <w:t xml:space="preserve"> </w:t>
      </w:r>
      <w:r w:rsidR="00BF5605" w:rsidRPr="000952C3">
        <w:t>settlements such as Ratho.</w:t>
      </w:r>
      <w:r>
        <w:t xml:space="preserve"> The</w:t>
      </w:r>
      <w:r w:rsidR="00F9656A">
        <w:t>re was thought to be a discrepancy between the</w:t>
      </w:r>
      <w:r>
        <w:t xml:space="preserve"> “</w:t>
      </w:r>
      <w:r w:rsidRPr="00F83717">
        <w:t>Tackling Inequality” diagram (page 20)</w:t>
      </w:r>
      <w:r w:rsidR="00F9656A" w:rsidRPr="00F83717">
        <w:t xml:space="preserve"> and its key</w:t>
      </w:r>
      <w:r w:rsidR="00F83717" w:rsidRPr="00F83717">
        <w:t xml:space="preserve"> in terms of the “</w:t>
      </w:r>
      <w:r w:rsidR="00BF5605" w:rsidRPr="00F83717">
        <w:t>areas of focus for new housing</w:t>
      </w:r>
      <w:r w:rsidR="00F83717" w:rsidRPr="00F83717">
        <w:t>”</w:t>
      </w:r>
      <w:r w:rsidR="00BF5605" w:rsidRPr="00F83717">
        <w:t xml:space="preserve"> and </w:t>
      </w:r>
      <w:r w:rsidR="00F83717" w:rsidRPr="00F83717">
        <w:t>“</w:t>
      </w:r>
      <w:r w:rsidR="00BF5605" w:rsidRPr="00F83717">
        <w:t>potential areas for longer</w:t>
      </w:r>
      <w:r w:rsidR="00F83717" w:rsidRPr="00F83717">
        <w:t>-</w:t>
      </w:r>
      <w:r w:rsidR="00BF5605" w:rsidRPr="00F83717">
        <w:t>term</w:t>
      </w:r>
      <w:r w:rsidR="00F83717" w:rsidRPr="00F83717">
        <w:t xml:space="preserve"> </w:t>
      </w:r>
      <w:r w:rsidR="00BF5605" w:rsidRPr="00F83717">
        <w:t>mixed tenure housing led development</w:t>
      </w:r>
      <w:r w:rsidR="00F83717" w:rsidRPr="00F83717">
        <w:t>”. Ratho was suggested as being identified as a “</w:t>
      </w:r>
      <w:r w:rsidR="00BF5605" w:rsidRPr="00F83717">
        <w:t>potential areas for</w:t>
      </w:r>
      <w:r w:rsidR="00F83717" w:rsidRPr="00F83717">
        <w:t xml:space="preserve"> </w:t>
      </w:r>
      <w:r w:rsidR="00BF5605" w:rsidRPr="00F83717">
        <w:t>longer-term mixed tenure housing led development</w:t>
      </w:r>
      <w:r w:rsidR="00F83717" w:rsidRPr="00F83717">
        <w:t>”.</w:t>
      </w:r>
      <w:r w:rsidR="000D5FCD">
        <w:t xml:space="preserve"> The lack of a long-term strategy for Ratho was suggested as being an omission from </w:t>
      </w:r>
      <w:r w:rsidR="000D5FCD" w:rsidRPr="00220DD1">
        <w:rPr>
          <w:rFonts w:cstheme="minorHAnsi"/>
          <w:i/>
          <w:iCs/>
        </w:rPr>
        <w:t>Towards West Edinburgh 2050</w:t>
      </w:r>
      <w:r w:rsidR="000D5FCD">
        <w:t>.</w:t>
      </w:r>
    </w:p>
    <w:p w14:paraId="00CC700C" w14:textId="77777777" w:rsidR="00120891" w:rsidRDefault="00120891" w:rsidP="00514A66">
      <w:pPr>
        <w:pStyle w:val="ListParagraph"/>
        <w:ind w:hanging="792"/>
        <w:rPr>
          <w:color w:val="FF0000"/>
        </w:rPr>
      </w:pPr>
    </w:p>
    <w:tbl>
      <w:tblPr>
        <w:tblStyle w:val="TableGrid"/>
        <w:tblW w:w="0" w:type="auto"/>
        <w:tblInd w:w="-147" w:type="dxa"/>
        <w:tblLook w:val="04A0" w:firstRow="1" w:lastRow="0" w:firstColumn="1" w:lastColumn="0" w:noHBand="0" w:noVBand="1"/>
      </w:tblPr>
      <w:tblGrid>
        <w:gridCol w:w="9163"/>
      </w:tblGrid>
      <w:tr w:rsidR="00463B08" w14:paraId="153F3374" w14:textId="77777777" w:rsidTr="003F1CE0">
        <w:tc>
          <w:tcPr>
            <w:tcW w:w="9163" w:type="dxa"/>
            <w:shd w:val="clear" w:color="auto" w:fill="D9D9D9" w:themeFill="background1" w:themeFillShade="D9"/>
          </w:tcPr>
          <w:p w14:paraId="2A68E5A8" w14:textId="720F19AC" w:rsidR="00463B08" w:rsidRPr="00514A66" w:rsidRDefault="00463B08" w:rsidP="003F1CE0">
            <w:pPr>
              <w:pStyle w:val="ListParagraph"/>
              <w:ind w:left="0"/>
              <w:jc w:val="center"/>
              <w:rPr>
                <w:b/>
                <w:bCs/>
              </w:rPr>
            </w:pPr>
            <w:r w:rsidRPr="00514A66">
              <w:rPr>
                <w:b/>
                <w:bCs/>
              </w:rPr>
              <w:t>Response</w:t>
            </w:r>
            <w:r>
              <w:rPr>
                <w:b/>
                <w:bCs/>
              </w:rPr>
              <w:t xml:space="preserve"> to comments on Ratho</w:t>
            </w:r>
          </w:p>
        </w:tc>
      </w:tr>
      <w:tr w:rsidR="00463B08" w14:paraId="50DDA66A" w14:textId="77777777" w:rsidTr="003F1CE0">
        <w:tc>
          <w:tcPr>
            <w:tcW w:w="9163" w:type="dxa"/>
          </w:tcPr>
          <w:p w14:paraId="34A59F51" w14:textId="4E65770F" w:rsidR="00463B08" w:rsidRPr="00172EDA" w:rsidRDefault="00172EDA" w:rsidP="003F1CE0">
            <w:pPr>
              <w:pStyle w:val="ListParagraph"/>
              <w:ind w:left="0"/>
              <w:jc w:val="both"/>
            </w:pPr>
            <w:r w:rsidRPr="00172EDA">
              <w:t>Ratho has been referenced under “</w:t>
            </w:r>
            <w:r w:rsidRPr="00172EDA">
              <w:t>West Edinburgh 2024</w:t>
            </w:r>
            <w:r w:rsidRPr="00172EDA">
              <w:t>”. Ratho has been identified on the diagram “</w:t>
            </w:r>
            <w:r w:rsidRPr="00172EDA">
              <w:t>Character and Opportunity</w:t>
            </w:r>
            <w:r w:rsidRPr="00172EDA">
              <w:t>”. Ratho is identified as a candidate for a Local Place Plan under “Tackling Inequality”.</w:t>
            </w:r>
          </w:p>
        </w:tc>
      </w:tr>
    </w:tbl>
    <w:p w14:paraId="2D2CCAB2" w14:textId="77777777" w:rsidR="00463B08" w:rsidRPr="00120891" w:rsidRDefault="00463B08" w:rsidP="00514A66">
      <w:pPr>
        <w:pStyle w:val="ListParagraph"/>
        <w:ind w:hanging="792"/>
        <w:rPr>
          <w:color w:val="FF0000"/>
        </w:rPr>
      </w:pPr>
    </w:p>
    <w:p w14:paraId="67FA1A36" w14:textId="5DFBC5FA" w:rsidR="00120891" w:rsidRPr="00F83717" w:rsidRDefault="00120891" w:rsidP="00514A66">
      <w:pPr>
        <w:pStyle w:val="ListParagraph"/>
        <w:numPr>
          <w:ilvl w:val="1"/>
          <w:numId w:val="37"/>
        </w:numPr>
        <w:ind w:hanging="792"/>
        <w:jc w:val="both"/>
        <w:rPr>
          <w:color w:val="FF0000"/>
        </w:rPr>
      </w:pPr>
      <w:r>
        <w:t xml:space="preserve">The lack of a long-term strategy for Kirkliston was suggested as being an omission from </w:t>
      </w:r>
      <w:r w:rsidRPr="00220DD1">
        <w:rPr>
          <w:rFonts w:cstheme="minorHAnsi"/>
          <w:i/>
          <w:iCs/>
        </w:rPr>
        <w:t>Towards West Edinburgh 2050</w:t>
      </w:r>
      <w:r>
        <w:t>.</w:t>
      </w:r>
    </w:p>
    <w:p w14:paraId="7E950B58" w14:textId="77777777" w:rsidR="000D5FCD" w:rsidRDefault="000D5FCD" w:rsidP="00514A66">
      <w:pPr>
        <w:pStyle w:val="ListParagraph"/>
        <w:ind w:hanging="792"/>
        <w:rPr>
          <w:color w:val="FF0000"/>
        </w:rPr>
      </w:pPr>
    </w:p>
    <w:tbl>
      <w:tblPr>
        <w:tblStyle w:val="TableGrid"/>
        <w:tblW w:w="0" w:type="auto"/>
        <w:tblInd w:w="-147" w:type="dxa"/>
        <w:tblLook w:val="04A0" w:firstRow="1" w:lastRow="0" w:firstColumn="1" w:lastColumn="0" w:noHBand="0" w:noVBand="1"/>
      </w:tblPr>
      <w:tblGrid>
        <w:gridCol w:w="9163"/>
      </w:tblGrid>
      <w:tr w:rsidR="00463B08" w14:paraId="75606976" w14:textId="77777777" w:rsidTr="003F1CE0">
        <w:tc>
          <w:tcPr>
            <w:tcW w:w="9163" w:type="dxa"/>
            <w:shd w:val="clear" w:color="auto" w:fill="D9D9D9" w:themeFill="background1" w:themeFillShade="D9"/>
          </w:tcPr>
          <w:p w14:paraId="3BCAFD33" w14:textId="46CF0566" w:rsidR="00463B08" w:rsidRPr="00514A66" w:rsidRDefault="00463B08" w:rsidP="003F1CE0">
            <w:pPr>
              <w:pStyle w:val="ListParagraph"/>
              <w:ind w:left="0"/>
              <w:jc w:val="center"/>
              <w:rPr>
                <w:b/>
                <w:bCs/>
              </w:rPr>
            </w:pPr>
            <w:r w:rsidRPr="00514A66">
              <w:rPr>
                <w:b/>
                <w:bCs/>
              </w:rPr>
              <w:t>Response</w:t>
            </w:r>
            <w:r>
              <w:rPr>
                <w:b/>
                <w:bCs/>
              </w:rPr>
              <w:t xml:space="preserve"> to comments on Kirkliston</w:t>
            </w:r>
          </w:p>
        </w:tc>
      </w:tr>
      <w:tr w:rsidR="00172EDA" w14:paraId="2FABB0C5" w14:textId="77777777" w:rsidTr="003F1CE0">
        <w:tc>
          <w:tcPr>
            <w:tcW w:w="9163" w:type="dxa"/>
          </w:tcPr>
          <w:p w14:paraId="0EBACF34" w14:textId="36C24A8F" w:rsidR="00172EDA" w:rsidRDefault="00172EDA" w:rsidP="00172EDA">
            <w:pPr>
              <w:pStyle w:val="ListParagraph"/>
              <w:ind w:left="0"/>
              <w:jc w:val="both"/>
            </w:pPr>
            <w:r>
              <w:t xml:space="preserve">Kirkliston </w:t>
            </w:r>
            <w:r w:rsidRPr="00172EDA">
              <w:t xml:space="preserve">has been referenced under “West Edinburgh 2024”. </w:t>
            </w:r>
            <w:r>
              <w:t xml:space="preserve">Kirkliston </w:t>
            </w:r>
            <w:r w:rsidRPr="00172EDA">
              <w:t xml:space="preserve">has been identified on the diagram “Character and Opportunity”. </w:t>
            </w:r>
            <w:r>
              <w:t xml:space="preserve">Kirkliston </w:t>
            </w:r>
            <w:r w:rsidRPr="00172EDA">
              <w:t>is identified as a candidate for a Local Place Plan under “Tackling Inequality”.</w:t>
            </w:r>
          </w:p>
        </w:tc>
      </w:tr>
    </w:tbl>
    <w:p w14:paraId="6D785111" w14:textId="77777777" w:rsidR="00463B08" w:rsidRPr="00BF5605" w:rsidRDefault="00463B08" w:rsidP="00514A66">
      <w:pPr>
        <w:pStyle w:val="ListParagraph"/>
        <w:ind w:hanging="792"/>
        <w:rPr>
          <w:color w:val="FF0000"/>
        </w:rPr>
      </w:pPr>
    </w:p>
    <w:p w14:paraId="77550186" w14:textId="1F42F76C" w:rsidR="002C6CB0" w:rsidRDefault="002C6CB0" w:rsidP="00514A66">
      <w:pPr>
        <w:pStyle w:val="ListParagraph"/>
        <w:numPr>
          <w:ilvl w:val="1"/>
          <w:numId w:val="37"/>
        </w:numPr>
        <w:ind w:hanging="792"/>
        <w:jc w:val="both"/>
      </w:pPr>
      <w:r w:rsidRPr="00DB261C">
        <w:t>The omission of consented developments at Maybury (HSG19) and Edinburgh Gateway (H62) from the “</w:t>
      </w:r>
      <w:r w:rsidR="001650F3" w:rsidRPr="00DB261C">
        <w:t>Key Defining Features</w:t>
      </w:r>
      <w:r w:rsidRPr="00DB261C">
        <w:t>” was questioned.</w:t>
      </w:r>
      <w:r w:rsidR="001650F3" w:rsidRPr="00DB261C">
        <w:t xml:space="preserve"> </w:t>
      </w:r>
      <w:r w:rsidRPr="00DB261C">
        <w:t>The inclusion of Maybury (HSG19), Cammo (HSG20), and West Craigs North within the “F</w:t>
      </w:r>
      <w:r w:rsidR="00562B4D" w:rsidRPr="00DB261C">
        <w:t>armlands and Settlements</w:t>
      </w:r>
      <w:r w:rsidRPr="00DB261C">
        <w:t>”</w:t>
      </w:r>
      <w:r w:rsidR="00562B4D" w:rsidRPr="00DB261C">
        <w:t xml:space="preserve"> character area </w:t>
      </w:r>
      <w:r w:rsidRPr="00DB261C">
        <w:t xml:space="preserve">was questioned; with West Craigs North suggested to sit </w:t>
      </w:r>
      <w:r w:rsidR="00DB261C" w:rsidRPr="00DB261C">
        <w:t xml:space="preserve">more comfortably in the </w:t>
      </w:r>
      <w:r w:rsidR="00463B08">
        <w:t>“</w:t>
      </w:r>
      <w:r w:rsidR="00DB261C" w:rsidRPr="00DB261C">
        <w:t>Central Corridor” character area</w:t>
      </w:r>
      <w:r w:rsidRPr="00DB261C">
        <w:t>.</w:t>
      </w:r>
      <w:r w:rsidR="00DB261C" w:rsidRPr="00DB261C">
        <w:t xml:space="preserve"> West Craigs North was also suggested to be included in the “area of focus for new housing”. Maybury (HSG19) and West Craigs North were suggested to be included in the “20-Minute Neighbourhood Area” centred on Edinburgh Gateway Station.</w:t>
      </w:r>
    </w:p>
    <w:p w14:paraId="16C75464" w14:textId="77777777" w:rsidR="00274504" w:rsidRDefault="00274504" w:rsidP="00514A66">
      <w:pPr>
        <w:pStyle w:val="ListParagraph"/>
        <w:ind w:hanging="792"/>
      </w:pPr>
    </w:p>
    <w:tbl>
      <w:tblPr>
        <w:tblStyle w:val="TableGrid"/>
        <w:tblW w:w="0" w:type="auto"/>
        <w:tblInd w:w="-147" w:type="dxa"/>
        <w:tblLook w:val="04A0" w:firstRow="1" w:lastRow="0" w:firstColumn="1" w:lastColumn="0" w:noHBand="0" w:noVBand="1"/>
      </w:tblPr>
      <w:tblGrid>
        <w:gridCol w:w="9163"/>
      </w:tblGrid>
      <w:tr w:rsidR="00463B08" w14:paraId="558EF7A2" w14:textId="77777777" w:rsidTr="003F1CE0">
        <w:tc>
          <w:tcPr>
            <w:tcW w:w="9163" w:type="dxa"/>
            <w:shd w:val="clear" w:color="auto" w:fill="D9D9D9" w:themeFill="background1" w:themeFillShade="D9"/>
          </w:tcPr>
          <w:p w14:paraId="714DED21" w14:textId="17E0F109" w:rsidR="00463B08" w:rsidRPr="00514A66" w:rsidRDefault="00463B08" w:rsidP="003F1CE0">
            <w:pPr>
              <w:pStyle w:val="ListParagraph"/>
              <w:ind w:left="0"/>
              <w:jc w:val="center"/>
              <w:rPr>
                <w:b/>
                <w:bCs/>
              </w:rPr>
            </w:pPr>
            <w:r w:rsidRPr="00514A66">
              <w:rPr>
                <w:b/>
                <w:bCs/>
              </w:rPr>
              <w:t>Response</w:t>
            </w:r>
            <w:r>
              <w:rPr>
                <w:b/>
                <w:bCs/>
              </w:rPr>
              <w:t xml:space="preserve"> to comments on Maybury / Cammo / West Craigs North</w:t>
            </w:r>
          </w:p>
        </w:tc>
      </w:tr>
      <w:tr w:rsidR="00463B08" w14:paraId="7F324D9F" w14:textId="77777777" w:rsidTr="003F1CE0">
        <w:tc>
          <w:tcPr>
            <w:tcW w:w="9163" w:type="dxa"/>
          </w:tcPr>
          <w:p w14:paraId="68BEEA60" w14:textId="596B2EDB" w:rsidR="00463B08" w:rsidRPr="00172EDA" w:rsidRDefault="00172EDA" w:rsidP="003F1CE0">
            <w:pPr>
              <w:pStyle w:val="ListParagraph"/>
              <w:ind w:left="0"/>
              <w:jc w:val="both"/>
            </w:pPr>
            <w:r w:rsidRPr="00172EDA">
              <w:t>The diagrams at “</w:t>
            </w:r>
            <w:r w:rsidRPr="00172EDA">
              <w:t>West Edinburgh 2024</w:t>
            </w:r>
            <w:r w:rsidRPr="00172EDA">
              <w:t xml:space="preserve">” and </w:t>
            </w:r>
            <w:r w:rsidRPr="00172EDA">
              <w:t>“Character and Opportunity”</w:t>
            </w:r>
            <w:r w:rsidRPr="00172EDA">
              <w:t xml:space="preserve"> have been updated to reflect consented developments</w:t>
            </w:r>
            <w:r w:rsidRPr="00172EDA">
              <w:t>.</w:t>
            </w:r>
          </w:p>
        </w:tc>
      </w:tr>
    </w:tbl>
    <w:p w14:paraId="1EF327E3" w14:textId="77777777" w:rsidR="00463B08" w:rsidRDefault="00463B08" w:rsidP="00514A66">
      <w:pPr>
        <w:pStyle w:val="ListParagraph"/>
        <w:ind w:hanging="792"/>
      </w:pPr>
    </w:p>
    <w:p w14:paraId="067021A4" w14:textId="69B71DE2" w:rsidR="00274504" w:rsidRDefault="00274504" w:rsidP="00514A66">
      <w:pPr>
        <w:pStyle w:val="ListParagraph"/>
        <w:numPr>
          <w:ilvl w:val="1"/>
          <w:numId w:val="37"/>
        </w:numPr>
        <w:ind w:hanging="792"/>
        <w:jc w:val="both"/>
      </w:pPr>
      <w:r>
        <w:t>The identification of Edinburgh Park as a “</w:t>
      </w:r>
      <w:r w:rsidRPr="00274504">
        <w:t>Commercial / Industrial area</w:t>
      </w:r>
      <w:r>
        <w:t xml:space="preserve">” in the land use map (page 4) was not felt to be accurate given recent developments in the area. It was suggested that the </w:t>
      </w:r>
      <w:r w:rsidRPr="00274504">
        <w:t>reference</w:t>
      </w:r>
      <w:r>
        <w:t>s</w:t>
      </w:r>
      <w:r w:rsidRPr="00274504">
        <w:t xml:space="preserve"> to Edinburgh Park </w:t>
      </w:r>
      <w:r>
        <w:t>in</w:t>
      </w:r>
      <w:r w:rsidRPr="00274504">
        <w:t xml:space="preserve"> the “Emerging Proposals</w:t>
      </w:r>
      <w:r>
        <w:t>” section could be strengthened</w:t>
      </w:r>
      <w:r w:rsidR="00B455E0">
        <w:t>, with reference being made to the consents in place</w:t>
      </w:r>
      <w:r>
        <w:t>.</w:t>
      </w:r>
    </w:p>
    <w:p w14:paraId="632FF140" w14:textId="77777777" w:rsidR="005F230F" w:rsidRDefault="005F230F" w:rsidP="00514A66">
      <w:pPr>
        <w:pStyle w:val="ListParagraph"/>
        <w:ind w:hanging="792"/>
      </w:pPr>
    </w:p>
    <w:tbl>
      <w:tblPr>
        <w:tblStyle w:val="TableGrid"/>
        <w:tblW w:w="0" w:type="auto"/>
        <w:tblInd w:w="-147" w:type="dxa"/>
        <w:tblLook w:val="04A0" w:firstRow="1" w:lastRow="0" w:firstColumn="1" w:lastColumn="0" w:noHBand="0" w:noVBand="1"/>
      </w:tblPr>
      <w:tblGrid>
        <w:gridCol w:w="9163"/>
      </w:tblGrid>
      <w:tr w:rsidR="00463B08" w14:paraId="1C82E036" w14:textId="77777777" w:rsidTr="003F1CE0">
        <w:tc>
          <w:tcPr>
            <w:tcW w:w="9163" w:type="dxa"/>
            <w:shd w:val="clear" w:color="auto" w:fill="D9D9D9" w:themeFill="background1" w:themeFillShade="D9"/>
          </w:tcPr>
          <w:p w14:paraId="11203AF7" w14:textId="2F14974C" w:rsidR="00463B08" w:rsidRPr="00514A66" w:rsidRDefault="00463B08" w:rsidP="003F1CE0">
            <w:pPr>
              <w:pStyle w:val="ListParagraph"/>
              <w:ind w:left="0"/>
              <w:jc w:val="center"/>
              <w:rPr>
                <w:b/>
                <w:bCs/>
              </w:rPr>
            </w:pPr>
            <w:r w:rsidRPr="00514A66">
              <w:rPr>
                <w:b/>
                <w:bCs/>
              </w:rPr>
              <w:t>Response</w:t>
            </w:r>
            <w:r>
              <w:rPr>
                <w:b/>
                <w:bCs/>
              </w:rPr>
              <w:t xml:space="preserve"> to comments on Edinburgh Park</w:t>
            </w:r>
          </w:p>
        </w:tc>
      </w:tr>
      <w:tr w:rsidR="001E65E1" w14:paraId="2D0CA4EC" w14:textId="77777777" w:rsidTr="003F1CE0">
        <w:tc>
          <w:tcPr>
            <w:tcW w:w="9163" w:type="dxa"/>
          </w:tcPr>
          <w:p w14:paraId="63E04039" w14:textId="57871279" w:rsidR="001E65E1" w:rsidRDefault="001E65E1" w:rsidP="001E65E1">
            <w:pPr>
              <w:pStyle w:val="ListParagraph"/>
              <w:ind w:left="0"/>
              <w:jc w:val="both"/>
            </w:pPr>
            <w:r w:rsidRPr="00AC51C7">
              <w:t>The diagram under "West Edinburgh 2024" and the text under "Already on the ground"</w:t>
            </w:r>
            <w:r>
              <w:t xml:space="preserve"> have been updated to reflect the mixed-use </w:t>
            </w:r>
            <w:r>
              <w:t>n</w:t>
            </w:r>
            <w:r>
              <w:t xml:space="preserve">ature of </w:t>
            </w:r>
            <w:r>
              <w:t>Edinburgh Park.</w:t>
            </w:r>
          </w:p>
        </w:tc>
      </w:tr>
    </w:tbl>
    <w:p w14:paraId="48CA3A02" w14:textId="77777777" w:rsidR="00463B08" w:rsidRDefault="00463B08" w:rsidP="00514A66">
      <w:pPr>
        <w:pStyle w:val="ListParagraph"/>
        <w:ind w:hanging="792"/>
      </w:pPr>
    </w:p>
    <w:p w14:paraId="522B5385" w14:textId="6AD8009A" w:rsidR="005F230F" w:rsidRDefault="005F230F" w:rsidP="00514A66">
      <w:pPr>
        <w:pStyle w:val="ListParagraph"/>
        <w:numPr>
          <w:ilvl w:val="1"/>
          <w:numId w:val="37"/>
        </w:numPr>
        <w:ind w:hanging="792"/>
        <w:jc w:val="both"/>
      </w:pPr>
      <w:r>
        <w:t xml:space="preserve">The </w:t>
      </w:r>
      <w:r w:rsidRPr="005F230F">
        <w:t>identification of</w:t>
      </w:r>
      <w:r>
        <w:t xml:space="preserve"> land to the south of the A8 and south and west of Gogarburn with potential for </w:t>
      </w:r>
      <w:r w:rsidRPr="005F230F">
        <w:t>mixed-use housing</w:t>
      </w:r>
      <w:r>
        <w:t>-</w:t>
      </w:r>
      <w:r w:rsidRPr="005F230F">
        <w:t xml:space="preserve">led development </w:t>
      </w:r>
      <w:r>
        <w:t>was supported</w:t>
      </w:r>
      <w:r w:rsidRPr="005F230F">
        <w:t>.</w:t>
      </w:r>
    </w:p>
    <w:p w14:paraId="7869D1A4" w14:textId="77777777" w:rsidR="000168E6" w:rsidRDefault="000168E6" w:rsidP="00514A66">
      <w:pPr>
        <w:pStyle w:val="ListParagraph"/>
        <w:ind w:hanging="792"/>
      </w:pPr>
    </w:p>
    <w:tbl>
      <w:tblPr>
        <w:tblStyle w:val="TableGrid"/>
        <w:tblW w:w="0" w:type="auto"/>
        <w:tblInd w:w="-147" w:type="dxa"/>
        <w:tblLook w:val="04A0" w:firstRow="1" w:lastRow="0" w:firstColumn="1" w:lastColumn="0" w:noHBand="0" w:noVBand="1"/>
      </w:tblPr>
      <w:tblGrid>
        <w:gridCol w:w="9163"/>
      </w:tblGrid>
      <w:tr w:rsidR="00463B08" w14:paraId="56FCD456" w14:textId="77777777" w:rsidTr="003F1CE0">
        <w:tc>
          <w:tcPr>
            <w:tcW w:w="9163" w:type="dxa"/>
            <w:shd w:val="clear" w:color="auto" w:fill="D9D9D9" w:themeFill="background1" w:themeFillShade="D9"/>
          </w:tcPr>
          <w:p w14:paraId="1A8E0FB2" w14:textId="047ADE5D" w:rsidR="00463B08" w:rsidRPr="00514A66" w:rsidRDefault="00463B08" w:rsidP="003F1CE0">
            <w:pPr>
              <w:pStyle w:val="ListParagraph"/>
              <w:ind w:left="0"/>
              <w:jc w:val="center"/>
              <w:rPr>
                <w:b/>
                <w:bCs/>
              </w:rPr>
            </w:pPr>
            <w:r w:rsidRPr="00514A66">
              <w:rPr>
                <w:b/>
                <w:bCs/>
              </w:rPr>
              <w:t>Response</w:t>
            </w:r>
            <w:r>
              <w:rPr>
                <w:b/>
                <w:bCs/>
              </w:rPr>
              <w:t xml:space="preserve"> to comments on land south and west of Gogarburn</w:t>
            </w:r>
          </w:p>
        </w:tc>
      </w:tr>
      <w:tr w:rsidR="001E65E1" w14:paraId="6A7A8663" w14:textId="77777777" w:rsidTr="003F1CE0">
        <w:tc>
          <w:tcPr>
            <w:tcW w:w="9163" w:type="dxa"/>
          </w:tcPr>
          <w:p w14:paraId="3C6ADBAE" w14:textId="408ED732" w:rsidR="001E65E1" w:rsidRDefault="001E65E1" w:rsidP="001E65E1">
            <w:pPr>
              <w:pStyle w:val="ListParagraph"/>
              <w:ind w:left="0"/>
              <w:jc w:val="both"/>
            </w:pPr>
            <w:r>
              <w:t>No change made at this time – specific land allocation queries will need to be considered as part of the City Plan process.</w:t>
            </w:r>
          </w:p>
        </w:tc>
      </w:tr>
    </w:tbl>
    <w:p w14:paraId="79E67E74" w14:textId="77777777" w:rsidR="00463B08" w:rsidRDefault="00463B08" w:rsidP="00514A66">
      <w:pPr>
        <w:pStyle w:val="ListParagraph"/>
        <w:ind w:hanging="792"/>
      </w:pPr>
    </w:p>
    <w:p w14:paraId="78B0B9A2" w14:textId="6ADD3CFD" w:rsidR="00D06CF3" w:rsidRDefault="000168E6" w:rsidP="00514A66">
      <w:pPr>
        <w:pStyle w:val="ListParagraph"/>
        <w:numPr>
          <w:ilvl w:val="1"/>
          <w:numId w:val="37"/>
        </w:numPr>
        <w:ind w:hanging="792"/>
        <w:jc w:val="both"/>
      </w:pPr>
      <w:r>
        <w:t xml:space="preserve">The following sites were </w:t>
      </w:r>
      <w:r w:rsidR="00D06CF3">
        <w:t>suggested</w:t>
      </w:r>
      <w:r>
        <w:t xml:space="preserve"> by respondents </w:t>
      </w:r>
      <w:r w:rsidR="00D06CF3">
        <w:t>to</w:t>
      </w:r>
      <w:r>
        <w:t xml:space="preserve"> hav</w:t>
      </w:r>
      <w:r w:rsidR="00D06CF3">
        <w:t>e</w:t>
      </w:r>
      <w:r>
        <w:t xml:space="preserve"> development potential.</w:t>
      </w:r>
      <w:r w:rsidR="00D06CF3">
        <w:t xml:space="preserve"> Several of the sites had </w:t>
      </w:r>
      <w:r w:rsidR="00D06CF3" w:rsidRPr="00BF5605">
        <w:t>previously</w:t>
      </w:r>
      <w:r w:rsidR="00D06CF3">
        <w:t xml:space="preserve"> been</w:t>
      </w:r>
      <w:r w:rsidR="00D06CF3" w:rsidRPr="00BF5605">
        <w:t xml:space="preserve"> promoted for residential development through the local development plan process.</w:t>
      </w:r>
    </w:p>
    <w:p w14:paraId="42183B3B" w14:textId="77777777" w:rsidR="00D06CF3" w:rsidRDefault="00D06CF3" w:rsidP="00562B4D">
      <w:pPr>
        <w:pStyle w:val="ListParagraph"/>
        <w:ind w:left="792"/>
        <w:jc w:val="both"/>
      </w:pPr>
    </w:p>
    <w:p w14:paraId="67CAEF84" w14:textId="5BF9BF27" w:rsidR="00D06CF3" w:rsidRDefault="00D06CF3" w:rsidP="000168E6">
      <w:pPr>
        <w:pStyle w:val="ListParagraph"/>
        <w:numPr>
          <w:ilvl w:val="0"/>
          <w:numId w:val="40"/>
        </w:numPr>
        <w:jc w:val="both"/>
      </w:pPr>
      <w:r>
        <w:t>A large area of land at Norton to the south of the A8 was proposed as having potential for c.4,000 homes and other uses.</w:t>
      </w:r>
    </w:p>
    <w:p w14:paraId="18291B89" w14:textId="77777777" w:rsidR="00120891" w:rsidRDefault="00120891" w:rsidP="00120891">
      <w:pPr>
        <w:pStyle w:val="ListParagraph"/>
        <w:ind w:left="1152"/>
        <w:jc w:val="both"/>
      </w:pPr>
    </w:p>
    <w:tbl>
      <w:tblPr>
        <w:tblStyle w:val="TableGrid"/>
        <w:tblW w:w="0" w:type="auto"/>
        <w:tblInd w:w="-147" w:type="dxa"/>
        <w:tblLook w:val="04A0" w:firstRow="1" w:lastRow="0" w:firstColumn="1" w:lastColumn="0" w:noHBand="0" w:noVBand="1"/>
      </w:tblPr>
      <w:tblGrid>
        <w:gridCol w:w="9163"/>
      </w:tblGrid>
      <w:tr w:rsidR="00463B08" w14:paraId="081A2E79" w14:textId="77777777" w:rsidTr="003F1CE0">
        <w:tc>
          <w:tcPr>
            <w:tcW w:w="9163" w:type="dxa"/>
            <w:shd w:val="clear" w:color="auto" w:fill="D9D9D9" w:themeFill="background1" w:themeFillShade="D9"/>
          </w:tcPr>
          <w:p w14:paraId="3352BC9A" w14:textId="3D02B7FA" w:rsidR="00463B08" w:rsidRPr="00514A66" w:rsidRDefault="00463B08" w:rsidP="003F1CE0">
            <w:pPr>
              <w:pStyle w:val="ListParagraph"/>
              <w:ind w:left="0"/>
              <w:jc w:val="center"/>
              <w:rPr>
                <w:b/>
                <w:bCs/>
              </w:rPr>
            </w:pPr>
            <w:r w:rsidRPr="00514A66">
              <w:rPr>
                <w:b/>
                <w:bCs/>
              </w:rPr>
              <w:t>Response</w:t>
            </w:r>
            <w:r>
              <w:rPr>
                <w:b/>
                <w:bCs/>
              </w:rPr>
              <w:t xml:space="preserve"> to comments on land at Norton</w:t>
            </w:r>
          </w:p>
        </w:tc>
      </w:tr>
      <w:tr w:rsidR="001E65E1" w14:paraId="0D83DB34" w14:textId="77777777" w:rsidTr="003F1CE0">
        <w:tc>
          <w:tcPr>
            <w:tcW w:w="9163" w:type="dxa"/>
          </w:tcPr>
          <w:p w14:paraId="6F759938" w14:textId="2F246EE1" w:rsidR="001E65E1" w:rsidRDefault="001E65E1" w:rsidP="001E65E1">
            <w:pPr>
              <w:pStyle w:val="ListParagraph"/>
              <w:ind w:left="0"/>
              <w:jc w:val="both"/>
            </w:pPr>
            <w:r>
              <w:t>No change made at this time – specific land allocation queries will need to be considered as part of the City Plan process.</w:t>
            </w:r>
          </w:p>
        </w:tc>
      </w:tr>
    </w:tbl>
    <w:p w14:paraId="5125D46A" w14:textId="77777777" w:rsidR="00463B08" w:rsidRDefault="00463B08" w:rsidP="00120891">
      <w:pPr>
        <w:pStyle w:val="ListParagraph"/>
        <w:ind w:left="1152"/>
        <w:jc w:val="both"/>
      </w:pPr>
    </w:p>
    <w:p w14:paraId="657FCECA" w14:textId="59555CD4" w:rsidR="00120891" w:rsidRDefault="00001DAC" w:rsidP="000168E6">
      <w:pPr>
        <w:pStyle w:val="ListParagraph"/>
        <w:numPr>
          <w:ilvl w:val="0"/>
          <w:numId w:val="40"/>
        </w:numPr>
        <w:jc w:val="both"/>
      </w:pPr>
      <w:r>
        <w:t xml:space="preserve">71 hectares </w:t>
      </w:r>
      <w:r w:rsidR="00120891">
        <w:t xml:space="preserve">of land at </w:t>
      </w:r>
      <w:proofErr w:type="spellStart"/>
      <w:r w:rsidR="00120891">
        <w:t>Currievale</w:t>
      </w:r>
      <w:proofErr w:type="spellEnd"/>
      <w:r w:rsidR="00120891">
        <w:t xml:space="preserve"> within the Western District character area, currently used for agriculture, was promoted as having potential for 600-900 homes.</w:t>
      </w:r>
    </w:p>
    <w:p w14:paraId="7215C600" w14:textId="77777777" w:rsidR="00D06CF3" w:rsidRDefault="00D06CF3" w:rsidP="00D06CF3">
      <w:pPr>
        <w:pStyle w:val="ListParagraph"/>
        <w:ind w:left="1152"/>
        <w:jc w:val="both"/>
      </w:pPr>
    </w:p>
    <w:tbl>
      <w:tblPr>
        <w:tblStyle w:val="TableGrid"/>
        <w:tblW w:w="0" w:type="auto"/>
        <w:tblInd w:w="-147" w:type="dxa"/>
        <w:tblLook w:val="04A0" w:firstRow="1" w:lastRow="0" w:firstColumn="1" w:lastColumn="0" w:noHBand="0" w:noVBand="1"/>
      </w:tblPr>
      <w:tblGrid>
        <w:gridCol w:w="9163"/>
      </w:tblGrid>
      <w:tr w:rsidR="00463B08" w14:paraId="6DED0C97" w14:textId="77777777" w:rsidTr="003F1CE0">
        <w:tc>
          <w:tcPr>
            <w:tcW w:w="9163" w:type="dxa"/>
            <w:shd w:val="clear" w:color="auto" w:fill="D9D9D9" w:themeFill="background1" w:themeFillShade="D9"/>
          </w:tcPr>
          <w:p w14:paraId="69333E61" w14:textId="4FCD497E" w:rsidR="00463B08" w:rsidRPr="00514A66" w:rsidRDefault="00463B08" w:rsidP="003F1CE0">
            <w:pPr>
              <w:pStyle w:val="ListParagraph"/>
              <w:ind w:left="0"/>
              <w:jc w:val="center"/>
              <w:rPr>
                <w:b/>
                <w:bCs/>
              </w:rPr>
            </w:pPr>
            <w:r w:rsidRPr="00514A66">
              <w:rPr>
                <w:b/>
                <w:bCs/>
              </w:rPr>
              <w:t>Response</w:t>
            </w:r>
            <w:r>
              <w:rPr>
                <w:b/>
                <w:bCs/>
              </w:rPr>
              <w:t xml:space="preserve"> to comments on land at </w:t>
            </w:r>
            <w:proofErr w:type="spellStart"/>
            <w:r>
              <w:rPr>
                <w:b/>
                <w:bCs/>
              </w:rPr>
              <w:t>Currievale</w:t>
            </w:r>
            <w:proofErr w:type="spellEnd"/>
          </w:p>
        </w:tc>
      </w:tr>
      <w:tr w:rsidR="001E65E1" w14:paraId="053761C1" w14:textId="77777777" w:rsidTr="003F1CE0">
        <w:tc>
          <w:tcPr>
            <w:tcW w:w="9163" w:type="dxa"/>
          </w:tcPr>
          <w:p w14:paraId="3A08F8A3" w14:textId="0D4977B2" w:rsidR="001E65E1" w:rsidRDefault="001E65E1" w:rsidP="001E65E1">
            <w:pPr>
              <w:pStyle w:val="ListParagraph"/>
              <w:ind w:left="0"/>
              <w:jc w:val="both"/>
            </w:pPr>
            <w:r>
              <w:t>No change made at this time – specific land allocation queries will need to be considered as part of the City Plan process.</w:t>
            </w:r>
          </w:p>
        </w:tc>
      </w:tr>
    </w:tbl>
    <w:p w14:paraId="1F570A4F" w14:textId="77777777" w:rsidR="00463B08" w:rsidRDefault="00463B08" w:rsidP="00D06CF3">
      <w:pPr>
        <w:pStyle w:val="ListParagraph"/>
        <w:ind w:left="1152"/>
        <w:jc w:val="both"/>
      </w:pPr>
    </w:p>
    <w:p w14:paraId="1EF16C12" w14:textId="77777777" w:rsidR="000D5FCD" w:rsidRDefault="000D5FCD" w:rsidP="000D5FCD">
      <w:pPr>
        <w:pStyle w:val="ListParagraph"/>
        <w:numPr>
          <w:ilvl w:val="0"/>
          <w:numId w:val="40"/>
        </w:numPr>
        <w:jc w:val="both"/>
      </w:pPr>
      <w:r>
        <w:lastRenderedPageBreak/>
        <w:t>L</w:t>
      </w:r>
      <w:r w:rsidRPr="00D06CF3">
        <w:t xml:space="preserve">and at Muirwood Road between Currie and Juniper Green currently used for agriculture was promoted as a residential site with potential capacity of c. 350 homes. </w:t>
      </w:r>
    </w:p>
    <w:p w14:paraId="625CC72F" w14:textId="77777777" w:rsidR="00120891" w:rsidRDefault="00120891" w:rsidP="00120891">
      <w:pPr>
        <w:pStyle w:val="ListParagraph"/>
      </w:pPr>
    </w:p>
    <w:tbl>
      <w:tblPr>
        <w:tblStyle w:val="TableGrid"/>
        <w:tblW w:w="0" w:type="auto"/>
        <w:tblInd w:w="-147" w:type="dxa"/>
        <w:tblLook w:val="04A0" w:firstRow="1" w:lastRow="0" w:firstColumn="1" w:lastColumn="0" w:noHBand="0" w:noVBand="1"/>
      </w:tblPr>
      <w:tblGrid>
        <w:gridCol w:w="9163"/>
      </w:tblGrid>
      <w:tr w:rsidR="00463B08" w14:paraId="5F0CDD5B" w14:textId="77777777" w:rsidTr="003F1CE0">
        <w:tc>
          <w:tcPr>
            <w:tcW w:w="9163" w:type="dxa"/>
            <w:shd w:val="clear" w:color="auto" w:fill="D9D9D9" w:themeFill="background1" w:themeFillShade="D9"/>
          </w:tcPr>
          <w:p w14:paraId="0F08C8D2" w14:textId="1FAF2B5D" w:rsidR="00463B08" w:rsidRPr="00514A66" w:rsidRDefault="00463B08" w:rsidP="003F1CE0">
            <w:pPr>
              <w:pStyle w:val="ListParagraph"/>
              <w:ind w:left="0"/>
              <w:jc w:val="center"/>
              <w:rPr>
                <w:b/>
                <w:bCs/>
              </w:rPr>
            </w:pPr>
            <w:r w:rsidRPr="00514A66">
              <w:rPr>
                <w:b/>
                <w:bCs/>
              </w:rPr>
              <w:t>Response</w:t>
            </w:r>
            <w:r>
              <w:rPr>
                <w:b/>
                <w:bCs/>
              </w:rPr>
              <w:t xml:space="preserve"> to comments on land at Muirwood Road</w:t>
            </w:r>
          </w:p>
        </w:tc>
      </w:tr>
      <w:tr w:rsidR="001E65E1" w14:paraId="65AF77C4" w14:textId="77777777" w:rsidTr="003F1CE0">
        <w:tc>
          <w:tcPr>
            <w:tcW w:w="9163" w:type="dxa"/>
          </w:tcPr>
          <w:p w14:paraId="0B94C753" w14:textId="485EF222" w:rsidR="001E65E1" w:rsidRDefault="001E65E1" w:rsidP="001E65E1">
            <w:pPr>
              <w:pStyle w:val="ListParagraph"/>
              <w:ind w:left="0"/>
              <w:jc w:val="both"/>
            </w:pPr>
            <w:r>
              <w:t>No change made at this time – specific land allocation queries will need to be considered as part of the City Plan process.</w:t>
            </w:r>
          </w:p>
        </w:tc>
      </w:tr>
    </w:tbl>
    <w:p w14:paraId="7FCDA390" w14:textId="77777777" w:rsidR="00463B08" w:rsidRDefault="00463B08" w:rsidP="00120891">
      <w:pPr>
        <w:pStyle w:val="ListParagraph"/>
      </w:pPr>
    </w:p>
    <w:p w14:paraId="6E0574BF" w14:textId="201AC703" w:rsidR="00120891" w:rsidRPr="00D06CF3" w:rsidRDefault="00B303B0" w:rsidP="000D5FCD">
      <w:pPr>
        <w:pStyle w:val="ListParagraph"/>
        <w:numPr>
          <w:ilvl w:val="0"/>
          <w:numId w:val="40"/>
        </w:numPr>
        <w:jc w:val="both"/>
      </w:pPr>
      <w:r>
        <w:t>45 hectares of l</w:t>
      </w:r>
      <w:r w:rsidR="00120891">
        <w:t>and</w:t>
      </w:r>
      <w:r>
        <w:t xml:space="preserve"> at </w:t>
      </w:r>
      <w:proofErr w:type="spellStart"/>
      <w:r>
        <w:t>Almondhill</w:t>
      </w:r>
      <w:proofErr w:type="spellEnd"/>
      <w:r w:rsidR="00120891">
        <w:t xml:space="preserve"> to the east of Kirkliston </w:t>
      </w:r>
      <w:r>
        <w:t xml:space="preserve">was </w:t>
      </w:r>
      <w:r w:rsidR="00120891" w:rsidRPr="00D06CF3">
        <w:t xml:space="preserve">promoted as a </w:t>
      </w:r>
      <w:r w:rsidR="00120891">
        <w:t>mixed-use</w:t>
      </w:r>
      <w:r w:rsidR="00120891" w:rsidRPr="00D06CF3">
        <w:t xml:space="preserve"> site </w:t>
      </w:r>
      <w:r w:rsidR="00120891">
        <w:t xml:space="preserve">with potential capacity of </w:t>
      </w:r>
      <w:r w:rsidR="00120891" w:rsidRPr="00120891">
        <w:t>650- 850 homes</w:t>
      </w:r>
      <w:r w:rsidR="00120891">
        <w:t xml:space="preserve"> along with an educational campus (as an alternative to the leisure centre site currently being considered by the Council).</w:t>
      </w:r>
    </w:p>
    <w:p w14:paraId="16D25AC8" w14:textId="77777777" w:rsidR="000D5FCD" w:rsidRDefault="000D5FCD" w:rsidP="00D06CF3">
      <w:pPr>
        <w:pStyle w:val="ListParagraph"/>
        <w:ind w:left="1152"/>
        <w:jc w:val="both"/>
      </w:pPr>
    </w:p>
    <w:tbl>
      <w:tblPr>
        <w:tblStyle w:val="TableGrid"/>
        <w:tblW w:w="0" w:type="auto"/>
        <w:tblInd w:w="-147" w:type="dxa"/>
        <w:tblLook w:val="04A0" w:firstRow="1" w:lastRow="0" w:firstColumn="1" w:lastColumn="0" w:noHBand="0" w:noVBand="1"/>
      </w:tblPr>
      <w:tblGrid>
        <w:gridCol w:w="9163"/>
      </w:tblGrid>
      <w:tr w:rsidR="00463B08" w14:paraId="757D8A40" w14:textId="77777777" w:rsidTr="003F1CE0">
        <w:tc>
          <w:tcPr>
            <w:tcW w:w="9163" w:type="dxa"/>
            <w:shd w:val="clear" w:color="auto" w:fill="D9D9D9" w:themeFill="background1" w:themeFillShade="D9"/>
          </w:tcPr>
          <w:p w14:paraId="42EF6835" w14:textId="5E91AB07" w:rsidR="00463B08" w:rsidRPr="00514A66" w:rsidRDefault="00463B08" w:rsidP="003F1CE0">
            <w:pPr>
              <w:pStyle w:val="ListParagraph"/>
              <w:ind w:left="0"/>
              <w:jc w:val="center"/>
              <w:rPr>
                <w:b/>
                <w:bCs/>
              </w:rPr>
            </w:pPr>
            <w:r w:rsidRPr="00514A66">
              <w:rPr>
                <w:b/>
                <w:bCs/>
              </w:rPr>
              <w:t>Response</w:t>
            </w:r>
            <w:r>
              <w:rPr>
                <w:b/>
                <w:bCs/>
              </w:rPr>
              <w:t xml:space="preserve"> to comments on land </w:t>
            </w:r>
            <w:r w:rsidR="00B303B0">
              <w:rPr>
                <w:b/>
                <w:bCs/>
              </w:rPr>
              <w:t xml:space="preserve">at </w:t>
            </w:r>
            <w:proofErr w:type="spellStart"/>
            <w:r w:rsidR="00B303B0">
              <w:rPr>
                <w:b/>
                <w:bCs/>
              </w:rPr>
              <w:t>Almondhill</w:t>
            </w:r>
            <w:proofErr w:type="spellEnd"/>
          </w:p>
        </w:tc>
      </w:tr>
      <w:tr w:rsidR="001E65E1" w14:paraId="2D78F39F" w14:textId="77777777" w:rsidTr="003F1CE0">
        <w:tc>
          <w:tcPr>
            <w:tcW w:w="9163" w:type="dxa"/>
          </w:tcPr>
          <w:p w14:paraId="6C2DA0A6" w14:textId="4AFC964D" w:rsidR="001E65E1" w:rsidRDefault="001E65E1" w:rsidP="001E65E1">
            <w:pPr>
              <w:pStyle w:val="ListParagraph"/>
              <w:ind w:left="0"/>
              <w:jc w:val="both"/>
            </w:pPr>
            <w:r>
              <w:t>No change made at this time – specific land allocation queries will need to be considered as part of the City Plan process.</w:t>
            </w:r>
          </w:p>
        </w:tc>
      </w:tr>
    </w:tbl>
    <w:p w14:paraId="1EDDED90" w14:textId="77777777" w:rsidR="00463B08" w:rsidRDefault="00463B08" w:rsidP="00D06CF3">
      <w:pPr>
        <w:pStyle w:val="ListParagraph"/>
        <w:ind w:left="1152"/>
        <w:jc w:val="both"/>
      </w:pPr>
    </w:p>
    <w:p w14:paraId="4205B699" w14:textId="79E922DC" w:rsidR="000168E6" w:rsidRPr="00D06CF3" w:rsidRDefault="000D5FCD" w:rsidP="000168E6">
      <w:pPr>
        <w:pStyle w:val="ListParagraph"/>
        <w:numPr>
          <w:ilvl w:val="0"/>
          <w:numId w:val="40"/>
        </w:numPr>
        <w:jc w:val="both"/>
      </w:pPr>
      <w:r>
        <w:t>L</w:t>
      </w:r>
      <w:r w:rsidR="000168E6" w:rsidRPr="00BF5605">
        <w:t xml:space="preserve">and at Norton Mains to the </w:t>
      </w:r>
      <w:r w:rsidR="000168E6" w:rsidRPr="00D06CF3">
        <w:t xml:space="preserve">northeast of Ratho currently used for agriculture was promoted as a residential site with potential capacity of </w:t>
      </w:r>
      <w:r>
        <w:t>several dozen</w:t>
      </w:r>
      <w:r w:rsidR="000168E6" w:rsidRPr="00D06CF3">
        <w:t xml:space="preserve"> homes. </w:t>
      </w:r>
    </w:p>
    <w:p w14:paraId="1CBFC615" w14:textId="77777777" w:rsidR="000168E6" w:rsidRDefault="000168E6" w:rsidP="000168E6">
      <w:pPr>
        <w:pStyle w:val="ListParagraph"/>
        <w:ind w:left="1152"/>
        <w:jc w:val="both"/>
      </w:pPr>
    </w:p>
    <w:tbl>
      <w:tblPr>
        <w:tblStyle w:val="TableGrid"/>
        <w:tblW w:w="0" w:type="auto"/>
        <w:tblInd w:w="-147" w:type="dxa"/>
        <w:tblLook w:val="04A0" w:firstRow="1" w:lastRow="0" w:firstColumn="1" w:lastColumn="0" w:noHBand="0" w:noVBand="1"/>
      </w:tblPr>
      <w:tblGrid>
        <w:gridCol w:w="9163"/>
      </w:tblGrid>
      <w:tr w:rsidR="00463B08" w14:paraId="0E92DC5A" w14:textId="77777777" w:rsidTr="003F1CE0">
        <w:tc>
          <w:tcPr>
            <w:tcW w:w="9163" w:type="dxa"/>
            <w:shd w:val="clear" w:color="auto" w:fill="D9D9D9" w:themeFill="background1" w:themeFillShade="D9"/>
          </w:tcPr>
          <w:p w14:paraId="3B1E2589" w14:textId="0A1F44D8" w:rsidR="00463B08" w:rsidRPr="00514A66" w:rsidRDefault="00463B08" w:rsidP="003F1CE0">
            <w:pPr>
              <w:pStyle w:val="ListParagraph"/>
              <w:ind w:left="0"/>
              <w:jc w:val="center"/>
              <w:rPr>
                <w:b/>
                <w:bCs/>
              </w:rPr>
            </w:pPr>
            <w:r w:rsidRPr="00514A66">
              <w:rPr>
                <w:b/>
                <w:bCs/>
              </w:rPr>
              <w:t>Response</w:t>
            </w:r>
            <w:r>
              <w:rPr>
                <w:b/>
                <w:bCs/>
              </w:rPr>
              <w:t xml:space="preserve"> to comments on land at Norton Mains</w:t>
            </w:r>
          </w:p>
        </w:tc>
      </w:tr>
      <w:tr w:rsidR="001E65E1" w14:paraId="5ABEDB25" w14:textId="77777777" w:rsidTr="003F1CE0">
        <w:tc>
          <w:tcPr>
            <w:tcW w:w="9163" w:type="dxa"/>
          </w:tcPr>
          <w:p w14:paraId="331C2B88" w14:textId="012CE368" w:rsidR="001E65E1" w:rsidRDefault="001E65E1" w:rsidP="001E65E1">
            <w:pPr>
              <w:pStyle w:val="ListParagraph"/>
              <w:ind w:left="0"/>
              <w:jc w:val="both"/>
            </w:pPr>
            <w:r>
              <w:t>No change made at this time – specific land allocation queries will need to be considered as part of the City Plan process.</w:t>
            </w:r>
          </w:p>
        </w:tc>
      </w:tr>
    </w:tbl>
    <w:p w14:paraId="30800A76" w14:textId="77777777" w:rsidR="00463B08" w:rsidRPr="00D06CF3" w:rsidRDefault="00463B08" w:rsidP="000168E6">
      <w:pPr>
        <w:pStyle w:val="ListParagraph"/>
        <w:ind w:left="1152"/>
        <w:jc w:val="both"/>
      </w:pPr>
    </w:p>
    <w:p w14:paraId="20908582" w14:textId="45A8000B" w:rsidR="00232BD9" w:rsidRDefault="00F4396D" w:rsidP="000168E6">
      <w:pPr>
        <w:pStyle w:val="ListParagraph"/>
        <w:numPr>
          <w:ilvl w:val="0"/>
          <w:numId w:val="40"/>
        </w:numPr>
        <w:jc w:val="both"/>
      </w:pPr>
      <w:r>
        <w:t>10 hectares of l</w:t>
      </w:r>
      <w:r w:rsidR="00747CA3" w:rsidRPr="00D06CF3">
        <w:t xml:space="preserve">and at </w:t>
      </w:r>
      <w:proofErr w:type="spellStart"/>
      <w:r w:rsidR="00747CA3" w:rsidRPr="00D06CF3">
        <w:t>Freelands</w:t>
      </w:r>
      <w:proofErr w:type="spellEnd"/>
      <w:r w:rsidR="001650F3" w:rsidRPr="00D06CF3">
        <w:t xml:space="preserve"> </w:t>
      </w:r>
      <w:r>
        <w:t xml:space="preserve">Road </w:t>
      </w:r>
      <w:r w:rsidR="001650F3" w:rsidRPr="00D06CF3">
        <w:t>to the northeast of</w:t>
      </w:r>
      <w:r w:rsidR="00747CA3" w:rsidRPr="00D06CF3">
        <w:t xml:space="preserve"> Ratho</w:t>
      </w:r>
      <w:r w:rsidR="001650F3" w:rsidRPr="00D06CF3">
        <w:t xml:space="preserve"> currently used for agriculture was promoted as a residential site with potential capacity of 150-200 homes. </w:t>
      </w:r>
    </w:p>
    <w:p w14:paraId="26DE1E6D" w14:textId="77777777" w:rsidR="0017697F" w:rsidRDefault="0017697F" w:rsidP="0017697F">
      <w:pPr>
        <w:pStyle w:val="ListParagraph"/>
      </w:pPr>
    </w:p>
    <w:tbl>
      <w:tblPr>
        <w:tblStyle w:val="TableGrid"/>
        <w:tblW w:w="0" w:type="auto"/>
        <w:tblInd w:w="-147" w:type="dxa"/>
        <w:tblLook w:val="04A0" w:firstRow="1" w:lastRow="0" w:firstColumn="1" w:lastColumn="0" w:noHBand="0" w:noVBand="1"/>
      </w:tblPr>
      <w:tblGrid>
        <w:gridCol w:w="9163"/>
      </w:tblGrid>
      <w:tr w:rsidR="00463B08" w14:paraId="4958B278" w14:textId="77777777" w:rsidTr="003F1CE0">
        <w:tc>
          <w:tcPr>
            <w:tcW w:w="9163" w:type="dxa"/>
            <w:shd w:val="clear" w:color="auto" w:fill="D9D9D9" w:themeFill="background1" w:themeFillShade="D9"/>
          </w:tcPr>
          <w:p w14:paraId="4FD56A37" w14:textId="4A1DA97F" w:rsidR="00463B08" w:rsidRPr="00514A66" w:rsidRDefault="00463B08" w:rsidP="003F1CE0">
            <w:pPr>
              <w:pStyle w:val="ListParagraph"/>
              <w:ind w:left="0"/>
              <w:jc w:val="center"/>
              <w:rPr>
                <w:b/>
                <w:bCs/>
              </w:rPr>
            </w:pPr>
            <w:r w:rsidRPr="00514A66">
              <w:rPr>
                <w:b/>
                <w:bCs/>
              </w:rPr>
              <w:t>Response</w:t>
            </w:r>
            <w:r>
              <w:rPr>
                <w:b/>
                <w:bCs/>
              </w:rPr>
              <w:t xml:space="preserve"> to comments on land at </w:t>
            </w:r>
            <w:proofErr w:type="spellStart"/>
            <w:r>
              <w:rPr>
                <w:b/>
                <w:bCs/>
              </w:rPr>
              <w:t>Freelands</w:t>
            </w:r>
            <w:proofErr w:type="spellEnd"/>
            <w:r w:rsidR="00F4396D">
              <w:rPr>
                <w:b/>
                <w:bCs/>
              </w:rPr>
              <w:t xml:space="preserve"> Road</w:t>
            </w:r>
          </w:p>
        </w:tc>
      </w:tr>
      <w:tr w:rsidR="001E65E1" w14:paraId="6C2172C8" w14:textId="77777777" w:rsidTr="003F1CE0">
        <w:tc>
          <w:tcPr>
            <w:tcW w:w="9163" w:type="dxa"/>
          </w:tcPr>
          <w:p w14:paraId="6AC39469" w14:textId="605039F7" w:rsidR="001E65E1" w:rsidRDefault="001E65E1" w:rsidP="001E65E1">
            <w:pPr>
              <w:pStyle w:val="ListParagraph"/>
              <w:ind w:left="0"/>
              <w:jc w:val="both"/>
            </w:pPr>
            <w:r>
              <w:t>No change made at this time – specific land allocation queries will need to be considered as part of the City Plan process.</w:t>
            </w:r>
          </w:p>
        </w:tc>
      </w:tr>
    </w:tbl>
    <w:p w14:paraId="56B744C0" w14:textId="77777777" w:rsidR="00463B08" w:rsidRDefault="00463B08" w:rsidP="0017697F">
      <w:pPr>
        <w:pStyle w:val="ListParagraph"/>
      </w:pPr>
    </w:p>
    <w:p w14:paraId="16977E14" w14:textId="5B20354B" w:rsidR="000D5FCD" w:rsidRDefault="00247A73" w:rsidP="000168E6">
      <w:pPr>
        <w:pStyle w:val="ListParagraph"/>
        <w:numPr>
          <w:ilvl w:val="0"/>
          <w:numId w:val="40"/>
        </w:numPr>
        <w:jc w:val="both"/>
      </w:pPr>
      <w:r>
        <w:t>5.5 hectares of l</w:t>
      </w:r>
      <w:r w:rsidR="000D5FCD">
        <w:t xml:space="preserve">and at </w:t>
      </w:r>
      <w:proofErr w:type="spellStart"/>
      <w:r w:rsidR="000D5FCD">
        <w:t>Ransfield</w:t>
      </w:r>
      <w:proofErr w:type="spellEnd"/>
      <w:r w:rsidR="000D5FCD">
        <w:t xml:space="preserve"> Farm to the southeast of Ratho currently used for agriculture was </w:t>
      </w:r>
      <w:r w:rsidR="000D5FCD" w:rsidRPr="00D06CF3">
        <w:t xml:space="preserve">promoted as a residential site with potential capacity of </w:t>
      </w:r>
      <w:r w:rsidR="000D5FCD">
        <w:t>several dozen</w:t>
      </w:r>
      <w:r w:rsidR="000D5FCD" w:rsidRPr="00D06CF3">
        <w:t xml:space="preserve"> homes</w:t>
      </w:r>
      <w:r w:rsidR="000D5FCD">
        <w:t>.</w:t>
      </w:r>
    </w:p>
    <w:p w14:paraId="12DE9BD8" w14:textId="77777777" w:rsidR="0017697F" w:rsidRDefault="0017697F" w:rsidP="0017697F">
      <w:pPr>
        <w:pStyle w:val="ListParagraph"/>
      </w:pPr>
    </w:p>
    <w:tbl>
      <w:tblPr>
        <w:tblStyle w:val="TableGrid"/>
        <w:tblW w:w="0" w:type="auto"/>
        <w:tblInd w:w="-147" w:type="dxa"/>
        <w:tblLook w:val="04A0" w:firstRow="1" w:lastRow="0" w:firstColumn="1" w:lastColumn="0" w:noHBand="0" w:noVBand="1"/>
      </w:tblPr>
      <w:tblGrid>
        <w:gridCol w:w="9163"/>
      </w:tblGrid>
      <w:tr w:rsidR="00463B08" w14:paraId="66C67B1C" w14:textId="77777777" w:rsidTr="003F1CE0">
        <w:tc>
          <w:tcPr>
            <w:tcW w:w="9163" w:type="dxa"/>
            <w:shd w:val="clear" w:color="auto" w:fill="D9D9D9" w:themeFill="background1" w:themeFillShade="D9"/>
          </w:tcPr>
          <w:p w14:paraId="1074AABB" w14:textId="767BECFD" w:rsidR="00463B08" w:rsidRPr="00514A66" w:rsidRDefault="00463B08" w:rsidP="003F1CE0">
            <w:pPr>
              <w:pStyle w:val="ListParagraph"/>
              <w:ind w:left="0"/>
              <w:jc w:val="center"/>
              <w:rPr>
                <w:b/>
                <w:bCs/>
              </w:rPr>
            </w:pPr>
            <w:r w:rsidRPr="00514A66">
              <w:rPr>
                <w:b/>
                <w:bCs/>
              </w:rPr>
              <w:t>Response</w:t>
            </w:r>
            <w:r>
              <w:rPr>
                <w:b/>
                <w:bCs/>
              </w:rPr>
              <w:t xml:space="preserve"> to comments on land at </w:t>
            </w:r>
            <w:proofErr w:type="spellStart"/>
            <w:r>
              <w:rPr>
                <w:b/>
                <w:bCs/>
              </w:rPr>
              <w:t>Ransfield</w:t>
            </w:r>
            <w:proofErr w:type="spellEnd"/>
            <w:r>
              <w:rPr>
                <w:b/>
                <w:bCs/>
              </w:rPr>
              <w:t xml:space="preserve"> Farm</w:t>
            </w:r>
          </w:p>
        </w:tc>
      </w:tr>
      <w:tr w:rsidR="001E65E1" w14:paraId="78054FC0" w14:textId="77777777" w:rsidTr="003F1CE0">
        <w:tc>
          <w:tcPr>
            <w:tcW w:w="9163" w:type="dxa"/>
          </w:tcPr>
          <w:p w14:paraId="676DBD55" w14:textId="5702ECAC" w:rsidR="001E65E1" w:rsidRDefault="001E65E1" w:rsidP="001E65E1">
            <w:pPr>
              <w:pStyle w:val="ListParagraph"/>
              <w:ind w:left="0"/>
              <w:jc w:val="both"/>
            </w:pPr>
            <w:r>
              <w:t>No change made at this time – specific land allocation queries will need to be considered as part of the City Plan process.</w:t>
            </w:r>
          </w:p>
        </w:tc>
      </w:tr>
    </w:tbl>
    <w:p w14:paraId="753BC154" w14:textId="77777777" w:rsidR="00463B08" w:rsidRDefault="00463B08" w:rsidP="0017697F">
      <w:pPr>
        <w:pStyle w:val="ListParagraph"/>
      </w:pPr>
    </w:p>
    <w:p w14:paraId="13933ED8" w14:textId="3DC5F940" w:rsidR="0017697F" w:rsidRDefault="0017697F" w:rsidP="000168E6">
      <w:pPr>
        <w:pStyle w:val="ListParagraph"/>
        <w:numPr>
          <w:ilvl w:val="0"/>
          <w:numId w:val="40"/>
        </w:numPr>
        <w:jc w:val="both"/>
      </w:pPr>
      <w:r>
        <w:t xml:space="preserve">Land to the east of Ratho Station currently used for agriculture was </w:t>
      </w:r>
      <w:r w:rsidRPr="00D06CF3">
        <w:t>promoted as a residential site</w:t>
      </w:r>
      <w:r>
        <w:t>.</w:t>
      </w:r>
      <w:r w:rsidRPr="00D06CF3">
        <w:t xml:space="preserve"> </w:t>
      </w:r>
    </w:p>
    <w:p w14:paraId="027AA33B" w14:textId="77777777" w:rsidR="00812C52" w:rsidRDefault="00812C52" w:rsidP="00812C52">
      <w:pPr>
        <w:pStyle w:val="ListParagraph"/>
      </w:pPr>
    </w:p>
    <w:tbl>
      <w:tblPr>
        <w:tblStyle w:val="TableGrid"/>
        <w:tblW w:w="0" w:type="auto"/>
        <w:tblInd w:w="-147" w:type="dxa"/>
        <w:tblLook w:val="04A0" w:firstRow="1" w:lastRow="0" w:firstColumn="1" w:lastColumn="0" w:noHBand="0" w:noVBand="1"/>
      </w:tblPr>
      <w:tblGrid>
        <w:gridCol w:w="9163"/>
      </w:tblGrid>
      <w:tr w:rsidR="00463B08" w14:paraId="22340B74" w14:textId="77777777" w:rsidTr="003F1CE0">
        <w:tc>
          <w:tcPr>
            <w:tcW w:w="9163" w:type="dxa"/>
            <w:shd w:val="clear" w:color="auto" w:fill="D9D9D9" w:themeFill="background1" w:themeFillShade="D9"/>
          </w:tcPr>
          <w:p w14:paraId="26BFABF1" w14:textId="79F0510C" w:rsidR="00463B08" w:rsidRPr="00514A66" w:rsidRDefault="00463B08" w:rsidP="003F1CE0">
            <w:pPr>
              <w:pStyle w:val="ListParagraph"/>
              <w:ind w:left="0"/>
              <w:jc w:val="center"/>
              <w:rPr>
                <w:b/>
                <w:bCs/>
              </w:rPr>
            </w:pPr>
            <w:r w:rsidRPr="00514A66">
              <w:rPr>
                <w:b/>
                <w:bCs/>
              </w:rPr>
              <w:t>Response</w:t>
            </w:r>
            <w:r>
              <w:rPr>
                <w:b/>
                <w:bCs/>
              </w:rPr>
              <w:t xml:space="preserve"> to comments on land east of Ratho Station</w:t>
            </w:r>
          </w:p>
        </w:tc>
      </w:tr>
      <w:tr w:rsidR="001E65E1" w14:paraId="69B5915A" w14:textId="77777777" w:rsidTr="003F1CE0">
        <w:tc>
          <w:tcPr>
            <w:tcW w:w="9163" w:type="dxa"/>
          </w:tcPr>
          <w:p w14:paraId="41A81EE2" w14:textId="47D3AD08" w:rsidR="001E65E1" w:rsidRDefault="001E65E1" w:rsidP="001E65E1">
            <w:pPr>
              <w:pStyle w:val="ListParagraph"/>
              <w:ind w:left="0"/>
              <w:jc w:val="both"/>
            </w:pPr>
            <w:r>
              <w:t>No change made at this time – specific land allocation queries will need to be considered as part of the City Plan process.</w:t>
            </w:r>
          </w:p>
        </w:tc>
      </w:tr>
    </w:tbl>
    <w:p w14:paraId="7023C168" w14:textId="77777777" w:rsidR="00463B08" w:rsidRDefault="00463B08" w:rsidP="00812C52">
      <w:pPr>
        <w:pStyle w:val="ListParagraph"/>
      </w:pPr>
    </w:p>
    <w:p w14:paraId="6E60611E" w14:textId="2FF408B0" w:rsidR="00812C52" w:rsidRDefault="00812C52" w:rsidP="000168E6">
      <w:pPr>
        <w:pStyle w:val="ListParagraph"/>
        <w:numPr>
          <w:ilvl w:val="0"/>
          <w:numId w:val="40"/>
        </w:numPr>
        <w:jc w:val="both"/>
      </w:pPr>
      <w:r>
        <w:t xml:space="preserve">Land at Hermiston Park within the Central Corridor character area </w:t>
      </w:r>
      <w:r w:rsidR="00EA6CF4">
        <w:t xml:space="preserve">was </w:t>
      </w:r>
      <w:r>
        <w:t>identified as having potential for c.4,000</w:t>
      </w:r>
      <w:r w:rsidR="00EA6CF4">
        <w:t>-5,000</w:t>
      </w:r>
      <w:r>
        <w:t xml:space="preserve"> homes</w:t>
      </w:r>
      <w:r w:rsidR="00EA6CF4">
        <w:t xml:space="preserve"> and education/</w:t>
      </w:r>
      <w:proofErr w:type="gramStart"/>
      <w:r w:rsidR="00EA6CF4">
        <w:t>communities</w:t>
      </w:r>
      <w:proofErr w:type="gramEnd"/>
      <w:r w:rsidR="00EA6CF4">
        <w:t xml:space="preserve"> facilities</w:t>
      </w:r>
      <w:r>
        <w:t>.</w:t>
      </w:r>
    </w:p>
    <w:p w14:paraId="652BC45B" w14:textId="77777777" w:rsidR="00812C52" w:rsidRDefault="00812C52" w:rsidP="00812C52">
      <w:pPr>
        <w:pStyle w:val="ListParagraph"/>
      </w:pPr>
    </w:p>
    <w:tbl>
      <w:tblPr>
        <w:tblStyle w:val="TableGrid"/>
        <w:tblW w:w="0" w:type="auto"/>
        <w:tblInd w:w="-147" w:type="dxa"/>
        <w:tblLook w:val="04A0" w:firstRow="1" w:lastRow="0" w:firstColumn="1" w:lastColumn="0" w:noHBand="0" w:noVBand="1"/>
      </w:tblPr>
      <w:tblGrid>
        <w:gridCol w:w="9163"/>
      </w:tblGrid>
      <w:tr w:rsidR="00463B08" w14:paraId="09D0A1C5" w14:textId="77777777" w:rsidTr="003F1CE0">
        <w:tc>
          <w:tcPr>
            <w:tcW w:w="9163" w:type="dxa"/>
            <w:shd w:val="clear" w:color="auto" w:fill="D9D9D9" w:themeFill="background1" w:themeFillShade="D9"/>
          </w:tcPr>
          <w:p w14:paraId="45CAA2B4" w14:textId="2D7BB379" w:rsidR="00463B08" w:rsidRPr="00514A66" w:rsidRDefault="00463B08" w:rsidP="003F1CE0">
            <w:pPr>
              <w:pStyle w:val="ListParagraph"/>
              <w:ind w:left="0"/>
              <w:jc w:val="center"/>
              <w:rPr>
                <w:b/>
                <w:bCs/>
              </w:rPr>
            </w:pPr>
            <w:r w:rsidRPr="00514A66">
              <w:rPr>
                <w:b/>
                <w:bCs/>
              </w:rPr>
              <w:t>Response</w:t>
            </w:r>
            <w:r>
              <w:rPr>
                <w:b/>
                <w:bCs/>
              </w:rPr>
              <w:t xml:space="preserve"> to comments on land at Hermiston Park</w:t>
            </w:r>
          </w:p>
        </w:tc>
      </w:tr>
      <w:tr w:rsidR="00B313E1" w14:paraId="1880D5EE" w14:textId="77777777" w:rsidTr="003F1CE0">
        <w:tc>
          <w:tcPr>
            <w:tcW w:w="9163" w:type="dxa"/>
          </w:tcPr>
          <w:p w14:paraId="23DAB5E5" w14:textId="2C5284F5" w:rsidR="00B313E1" w:rsidRDefault="00B313E1" w:rsidP="00B313E1">
            <w:pPr>
              <w:pStyle w:val="ListParagraph"/>
              <w:ind w:left="0"/>
              <w:jc w:val="both"/>
            </w:pPr>
            <w:r>
              <w:lastRenderedPageBreak/>
              <w:t>No change made at this time – specific land allocation queries will need to be considered as part of the City Plan process.</w:t>
            </w:r>
          </w:p>
        </w:tc>
      </w:tr>
    </w:tbl>
    <w:p w14:paraId="640F9B6D" w14:textId="77777777" w:rsidR="00463B08" w:rsidRDefault="00463B08" w:rsidP="00812C52">
      <w:pPr>
        <w:pStyle w:val="ListParagraph"/>
      </w:pPr>
    </w:p>
    <w:p w14:paraId="36E408A0" w14:textId="2E253DD0" w:rsidR="00812C52" w:rsidRPr="00D06CF3" w:rsidRDefault="00812C52" w:rsidP="000168E6">
      <w:pPr>
        <w:pStyle w:val="ListParagraph"/>
        <w:numPr>
          <w:ilvl w:val="0"/>
          <w:numId w:val="40"/>
        </w:numPr>
        <w:jc w:val="both"/>
      </w:pPr>
      <w:r>
        <w:t xml:space="preserve">Land to the north of the A8 </w:t>
      </w:r>
      <w:r w:rsidR="00001DAC">
        <w:t xml:space="preserve">was </w:t>
      </w:r>
      <w:r>
        <w:t>identified as having potential for an arena</w:t>
      </w:r>
      <w:r w:rsidR="00001DAC">
        <w:t xml:space="preserve"> with an indicative capacity of 7,500</w:t>
      </w:r>
      <w:r>
        <w:t>.</w:t>
      </w:r>
    </w:p>
    <w:p w14:paraId="45675218" w14:textId="77777777" w:rsidR="00D06CF3" w:rsidRDefault="00D06CF3" w:rsidP="009B6B3C">
      <w:pPr>
        <w:pStyle w:val="ListParagraph"/>
        <w:ind w:left="360"/>
        <w:jc w:val="both"/>
      </w:pPr>
    </w:p>
    <w:tbl>
      <w:tblPr>
        <w:tblStyle w:val="TableGrid"/>
        <w:tblW w:w="0" w:type="auto"/>
        <w:tblInd w:w="-147" w:type="dxa"/>
        <w:tblLook w:val="04A0" w:firstRow="1" w:lastRow="0" w:firstColumn="1" w:lastColumn="0" w:noHBand="0" w:noVBand="1"/>
      </w:tblPr>
      <w:tblGrid>
        <w:gridCol w:w="9163"/>
      </w:tblGrid>
      <w:tr w:rsidR="00463B08" w14:paraId="14D0384D" w14:textId="77777777" w:rsidTr="003F1CE0">
        <w:tc>
          <w:tcPr>
            <w:tcW w:w="9163" w:type="dxa"/>
            <w:shd w:val="clear" w:color="auto" w:fill="D9D9D9" w:themeFill="background1" w:themeFillShade="D9"/>
          </w:tcPr>
          <w:p w14:paraId="528A0AE1" w14:textId="67110D8C" w:rsidR="00463B08" w:rsidRPr="00514A66" w:rsidRDefault="00463B08" w:rsidP="003F1CE0">
            <w:pPr>
              <w:pStyle w:val="ListParagraph"/>
              <w:ind w:left="0"/>
              <w:jc w:val="center"/>
              <w:rPr>
                <w:b/>
                <w:bCs/>
              </w:rPr>
            </w:pPr>
            <w:r w:rsidRPr="00514A66">
              <w:rPr>
                <w:b/>
                <w:bCs/>
              </w:rPr>
              <w:t>Response</w:t>
            </w:r>
            <w:r>
              <w:rPr>
                <w:b/>
                <w:bCs/>
              </w:rPr>
              <w:t xml:space="preserve"> to comments on arena</w:t>
            </w:r>
          </w:p>
        </w:tc>
      </w:tr>
      <w:tr w:rsidR="00463B08" w14:paraId="66215F30" w14:textId="77777777" w:rsidTr="003F1CE0">
        <w:tc>
          <w:tcPr>
            <w:tcW w:w="9163" w:type="dxa"/>
          </w:tcPr>
          <w:p w14:paraId="130C9E4B" w14:textId="1BBFEA70" w:rsidR="00463B08" w:rsidRPr="00B313E1" w:rsidRDefault="00B313E1" w:rsidP="003F1CE0">
            <w:pPr>
              <w:pStyle w:val="ListParagraph"/>
              <w:ind w:left="0"/>
              <w:jc w:val="both"/>
            </w:pPr>
            <w:r w:rsidRPr="00B313E1">
              <w:t>The proposed arena has been noted under “</w:t>
            </w:r>
            <w:r w:rsidRPr="00B313E1">
              <w:t>Already on the ground</w:t>
            </w:r>
            <w:r w:rsidRPr="00B313E1">
              <w:t>”.</w:t>
            </w:r>
          </w:p>
        </w:tc>
      </w:tr>
    </w:tbl>
    <w:p w14:paraId="261D7123" w14:textId="77777777" w:rsidR="00463B08" w:rsidRDefault="00463B08" w:rsidP="009B6B3C">
      <w:pPr>
        <w:pStyle w:val="ListParagraph"/>
        <w:ind w:left="360"/>
        <w:jc w:val="both"/>
      </w:pPr>
    </w:p>
    <w:p w14:paraId="197C78E6" w14:textId="65BDBAAC" w:rsidR="00934205" w:rsidRPr="009B6B3C" w:rsidRDefault="009B6B3C" w:rsidP="00617AA1">
      <w:pPr>
        <w:pStyle w:val="ListParagraph"/>
        <w:numPr>
          <w:ilvl w:val="0"/>
          <w:numId w:val="37"/>
        </w:numPr>
        <w:jc w:val="both"/>
        <w:rPr>
          <w:b/>
          <w:bCs/>
        </w:rPr>
      </w:pPr>
      <w:r w:rsidRPr="009B6B3C">
        <w:rPr>
          <w:b/>
          <w:bCs/>
        </w:rPr>
        <w:t>Overview</w:t>
      </w:r>
    </w:p>
    <w:p w14:paraId="46953922" w14:textId="77777777" w:rsidR="009B6B3C" w:rsidRPr="009B6B3C" w:rsidRDefault="009B6B3C" w:rsidP="009B6B3C">
      <w:pPr>
        <w:pStyle w:val="ListParagraph"/>
        <w:ind w:left="360"/>
        <w:jc w:val="both"/>
      </w:pPr>
    </w:p>
    <w:p w14:paraId="353BB74C" w14:textId="43637ADB" w:rsidR="009B6B3C" w:rsidRDefault="00463B08" w:rsidP="00514A66">
      <w:pPr>
        <w:pStyle w:val="ListParagraph"/>
        <w:numPr>
          <w:ilvl w:val="1"/>
          <w:numId w:val="37"/>
        </w:numPr>
        <w:ind w:hanging="792"/>
        <w:jc w:val="both"/>
      </w:pPr>
      <w:r>
        <w:t xml:space="preserve">The consultation on </w:t>
      </w:r>
      <w:r w:rsidRPr="00833770">
        <w:rPr>
          <w:i/>
          <w:iCs/>
        </w:rPr>
        <w:t>Towards West Edinburgh 2030</w:t>
      </w:r>
      <w:r>
        <w:t xml:space="preserve"> attracted 203 online responses and 16 </w:t>
      </w:r>
      <w:r w:rsidR="00833770">
        <w:t>direct</w:t>
      </w:r>
      <w:r>
        <w:t xml:space="preserve"> responses. </w:t>
      </w:r>
    </w:p>
    <w:p w14:paraId="686FB32F" w14:textId="77777777" w:rsidR="00A950F0" w:rsidRDefault="00A950F0" w:rsidP="00A950F0">
      <w:pPr>
        <w:pStyle w:val="ListParagraph"/>
        <w:ind w:left="792"/>
        <w:jc w:val="both"/>
      </w:pPr>
    </w:p>
    <w:p w14:paraId="1D7A68A8" w14:textId="0EEE03A0" w:rsidR="00A950F0" w:rsidRDefault="00A950F0" w:rsidP="005C68DA">
      <w:pPr>
        <w:pStyle w:val="ListParagraph"/>
        <w:numPr>
          <w:ilvl w:val="1"/>
          <w:numId w:val="37"/>
        </w:numPr>
        <w:ind w:hanging="792"/>
        <w:jc w:val="both"/>
      </w:pPr>
      <w:r>
        <w:t xml:space="preserve">The online consultation found that respondents did not strongly agree with the identified strengths of West Edinburgh beyond the natural environment. There was greater consensus as to the barriers to development in West Edinburgh. Views on the proposed vision for West Edinburgh were mixed, with multiple respondents feeling the vision was not well worded. Views on the proposal to focus development on the “Central Corridor” and “Western District” were mixed, with respondents offering opinions ranging from </w:t>
      </w:r>
      <w:r w:rsidR="005C68DA">
        <w:t xml:space="preserve">development being focused elsewhere to no development taking place. Feedback on </w:t>
      </w:r>
      <w:r>
        <w:t xml:space="preserve">themes and actions </w:t>
      </w:r>
      <w:r w:rsidR="005C68DA">
        <w:t xml:space="preserve">was </w:t>
      </w:r>
      <w:r>
        <w:t>mi</w:t>
      </w:r>
      <w:r w:rsidR="005C68DA">
        <w:t>x</w:t>
      </w:r>
      <w:r>
        <w:t>ed</w:t>
      </w:r>
      <w:r w:rsidR="005C68DA">
        <w:t xml:space="preserve">. There was general agreement with the dependencies, albeit others were proposed. A wide range of other comments on </w:t>
      </w:r>
      <w:r w:rsidR="005C68DA" w:rsidRPr="005C68DA">
        <w:rPr>
          <w:i/>
          <w:iCs/>
        </w:rPr>
        <w:t>To</w:t>
      </w:r>
      <w:r w:rsidR="005C68DA">
        <w:rPr>
          <w:i/>
          <w:iCs/>
        </w:rPr>
        <w:t>w</w:t>
      </w:r>
      <w:r w:rsidR="005C68DA" w:rsidRPr="005C68DA">
        <w:rPr>
          <w:i/>
          <w:iCs/>
        </w:rPr>
        <w:t>ards West Edinbu</w:t>
      </w:r>
      <w:r w:rsidR="005C68DA">
        <w:rPr>
          <w:i/>
          <w:iCs/>
        </w:rPr>
        <w:t>rgh</w:t>
      </w:r>
      <w:r w:rsidR="005C68DA" w:rsidRPr="005C68DA">
        <w:rPr>
          <w:i/>
          <w:iCs/>
        </w:rPr>
        <w:t xml:space="preserve"> 2050</w:t>
      </w:r>
      <w:r w:rsidR="005C68DA">
        <w:t xml:space="preserve"> were offered. Respondents </w:t>
      </w:r>
      <w:r>
        <w:t xml:space="preserve">were generally positive about the consultation process, albeit with </w:t>
      </w:r>
      <w:r w:rsidR="005C68DA">
        <w:t xml:space="preserve">many respondents feeling </w:t>
      </w:r>
      <w:r>
        <w:t xml:space="preserve">that the consultation process was </w:t>
      </w:r>
      <w:r w:rsidR="005C68DA">
        <w:t xml:space="preserve">not </w:t>
      </w:r>
      <w:r>
        <w:t>clear and easy to understand</w:t>
      </w:r>
      <w:r w:rsidR="005C68DA">
        <w:t>.</w:t>
      </w:r>
    </w:p>
    <w:p w14:paraId="327F3AFA" w14:textId="77777777" w:rsidR="00A950F0" w:rsidRDefault="00A950F0" w:rsidP="00833770">
      <w:pPr>
        <w:pStyle w:val="ListParagraph"/>
        <w:ind w:left="792"/>
        <w:jc w:val="both"/>
      </w:pPr>
    </w:p>
    <w:p w14:paraId="2A512EAD" w14:textId="77777777" w:rsidR="00A950F0" w:rsidRDefault="00A950F0" w:rsidP="00514A66">
      <w:pPr>
        <w:pStyle w:val="ListParagraph"/>
        <w:numPr>
          <w:ilvl w:val="1"/>
          <w:numId w:val="37"/>
        </w:numPr>
        <w:ind w:hanging="792"/>
        <w:jc w:val="both"/>
      </w:pPr>
      <w:r>
        <w:t>Direct r</w:t>
      </w:r>
      <w:r w:rsidR="00833770">
        <w:t xml:space="preserve">espondents made a large number of suggestions regarding </w:t>
      </w:r>
      <w:r w:rsidR="00833770" w:rsidRPr="00833770">
        <w:rPr>
          <w:i/>
          <w:iCs/>
        </w:rPr>
        <w:t>Towards West Edinburgh 2030</w:t>
      </w:r>
      <w:r w:rsidR="00833770">
        <w:t xml:space="preserve">, ranging from minor typographical amendments to changes in the indicative proposals for the use of particular plots of land. </w:t>
      </w:r>
    </w:p>
    <w:p w14:paraId="31603FA0" w14:textId="77777777" w:rsidR="00A950F0" w:rsidRDefault="00A950F0" w:rsidP="00A950F0">
      <w:pPr>
        <w:pStyle w:val="ListParagraph"/>
        <w:ind w:left="792"/>
        <w:jc w:val="both"/>
      </w:pPr>
    </w:p>
    <w:p w14:paraId="20259C0B" w14:textId="786CC52A" w:rsidR="00833770" w:rsidRPr="007C6860" w:rsidRDefault="00833770" w:rsidP="00514A66">
      <w:pPr>
        <w:pStyle w:val="ListParagraph"/>
        <w:numPr>
          <w:ilvl w:val="1"/>
          <w:numId w:val="37"/>
        </w:numPr>
        <w:ind w:hanging="792"/>
        <w:jc w:val="both"/>
      </w:pPr>
      <w:r>
        <w:t xml:space="preserve">The </w:t>
      </w:r>
      <w:r w:rsidR="00A950F0">
        <w:t xml:space="preserve">Council’s </w:t>
      </w:r>
      <w:r>
        <w:t>responses to the</w:t>
      </w:r>
      <w:r w:rsidR="00A950F0">
        <w:t xml:space="preserve"> points made in the consultation </w:t>
      </w:r>
      <w:r>
        <w:t xml:space="preserve">are set out above. </w:t>
      </w:r>
      <w:r w:rsidRPr="00833770">
        <w:rPr>
          <w:i/>
          <w:iCs/>
        </w:rPr>
        <w:t>Towards West Edinburgh 2030</w:t>
      </w:r>
      <w:r>
        <w:t xml:space="preserve"> </w:t>
      </w:r>
      <w:r w:rsidR="006D5CCA">
        <w:t>has been</w:t>
      </w:r>
      <w:r>
        <w:t xml:space="preserve"> updated with changes emerging from the consultation.</w:t>
      </w:r>
    </w:p>
    <w:sectPr w:rsidR="00833770" w:rsidRPr="007C6860" w:rsidSect="00C730A4">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98734" w14:textId="77777777" w:rsidR="009931EA" w:rsidRDefault="009931EA" w:rsidP="00664CC5">
      <w:pPr>
        <w:spacing w:after="0" w:line="240" w:lineRule="auto"/>
      </w:pPr>
      <w:r>
        <w:separator/>
      </w:r>
    </w:p>
  </w:endnote>
  <w:endnote w:type="continuationSeparator" w:id="0">
    <w:p w14:paraId="130DA5A3" w14:textId="77777777" w:rsidR="009931EA" w:rsidRDefault="009931EA" w:rsidP="00664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5163612"/>
      <w:docPartObj>
        <w:docPartGallery w:val="Page Numbers (Bottom of Page)"/>
        <w:docPartUnique/>
      </w:docPartObj>
    </w:sdtPr>
    <w:sdtEndPr/>
    <w:sdtContent>
      <w:sdt>
        <w:sdtPr>
          <w:id w:val="1728636285"/>
          <w:docPartObj>
            <w:docPartGallery w:val="Page Numbers (Top of Page)"/>
            <w:docPartUnique/>
          </w:docPartObj>
        </w:sdtPr>
        <w:sdtEndPr/>
        <w:sdtContent>
          <w:p w14:paraId="61CFACDF" w14:textId="5DA0DCA2" w:rsidR="009B6B3C" w:rsidRPr="009B6B3C" w:rsidRDefault="009B6B3C">
            <w:pPr>
              <w:pStyle w:val="Footer"/>
              <w:jc w:val="center"/>
            </w:pPr>
            <w:r w:rsidRPr="009B6B3C">
              <w:t xml:space="preserve">Page </w:t>
            </w:r>
            <w:r w:rsidRPr="009B6B3C">
              <w:rPr>
                <w:sz w:val="24"/>
                <w:szCs w:val="24"/>
              </w:rPr>
              <w:fldChar w:fldCharType="begin"/>
            </w:r>
            <w:r w:rsidRPr="009B6B3C">
              <w:instrText xml:space="preserve"> PAGE </w:instrText>
            </w:r>
            <w:r w:rsidRPr="009B6B3C">
              <w:rPr>
                <w:sz w:val="24"/>
                <w:szCs w:val="24"/>
              </w:rPr>
              <w:fldChar w:fldCharType="separate"/>
            </w:r>
            <w:r w:rsidRPr="009B6B3C">
              <w:rPr>
                <w:noProof/>
              </w:rPr>
              <w:t>2</w:t>
            </w:r>
            <w:r w:rsidRPr="009B6B3C">
              <w:rPr>
                <w:sz w:val="24"/>
                <w:szCs w:val="24"/>
              </w:rPr>
              <w:fldChar w:fldCharType="end"/>
            </w:r>
            <w:r w:rsidRPr="009B6B3C">
              <w:t xml:space="preserve"> of </w:t>
            </w:r>
            <w:r w:rsidR="000871CA">
              <w:fldChar w:fldCharType="begin"/>
            </w:r>
            <w:r w:rsidR="000871CA">
              <w:instrText xml:space="preserve"> NUMPAGES  </w:instrText>
            </w:r>
            <w:r w:rsidR="000871CA">
              <w:fldChar w:fldCharType="separate"/>
            </w:r>
            <w:r w:rsidRPr="009B6B3C">
              <w:rPr>
                <w:noProof/>
              </w:rPr>
              <w:t>2</w:t>
            </w:r>
            <w:r w:rsidR="000871CA">
              <w:rPr>
                <w:noProof/>
              </w:rPr>
              <w:fldChar w:fldCharType="end"/>
            </w:r>
          </w:p>
        </w:sdtContent>
      </w:sdt>
    </w:sdtContent>
  </w:sdt>
  <w:p w14:paraId="314A5B7B" w14:textId="77777777" w:rsidR="00C730A4" w:rsidRDefault="00C73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779E3" w14:textId="77777777" w:rsidR="009931EA" w:rsidRDefault="009931EA" w:rsidP="00664CC5">
      <w:pPr>
        <w:spacing w:after="0" w:line="240" w:lineRule="auto"/>
      </w:pPr>
      <w:r>
        <w:separator/>
      </w:r>
    </w:p>
  </w:footnote>
  <w:footnote w:type="continuationSeparator" w:id="0">
    <w:p w14:paraId="5397EAC3" w14:textId="77777777" w:rsidR="009931EA" w:rsidRDefault="009931EA" w:rsidP="00664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3356"/>
    <w:multiLevelType w:val="multilevel"/>
    <w:tmpl w:val="CD8AC712"/>
    <w:lvl w:ilvl="0">
      <w:start w:val="1"/>
      <w:numFmt w:val="decimal"/>
      <w:lvlText w:val="%1."/>
      <w:lvlJc w:val="left"/>
      <w:pPr>
        <w:ind w:left="360" w:hanging="360"/>
      </w:pPr>
      <w:rPr>
        <w:rFonts w:hint="default"/>
        <w:b w:val="0"/>
        <w:bCs w:val="0"/>
      </w:rPr>
    </w:lvl>
    <w:lvl w:ilvl="1">
      <w:start w:val="1"/>
      <w:numFmt w:val="decimal"/>
      <w:lvlText w:val="%1.%2."/>
      <w:lvlJc w:val="left"/>
      <w:pPr>
        <w:ind w:left="432" w:hanging="432"/>
      </w:pPr>
      <w:rPr>
        <w:rFonts w:hint="default"/>
        <w:b w:val="0"/>
        <w:bCs w:val="0"/>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055227"/>
    <w:multiLevelType w:val="hybridMultilevel"/>
    <w:tmpl w:val="DC820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1F2F83"/>
    <w:multiLevelType w:val="multilevel"/>
    <w:tmpl w:val="C8748A34"/>
    <w:lvl w:ilvl="0">
      <w:start w:val="1"/>
      <w:numFmt w:val="decimal"/>
      <w:pStyle w:val="Heading4"/>
      <w:lvlText w:val="%1."/>
      <w:lvlJc w:val="left"/>
      <w:pPr>
        <w:ind w:left="720" w:hanging="360"/>
      </w:pPr>
      <w:rPr>
        <w:rFonts w:hint="default"/>
      </w:rPr>
    </w:lvl>
    <w:lvl w:ilvl="1">
      <w:start w:val="1"/>
      <w:numFmt w:val="decimal"/>
      <w:isLgl/>
      <w:lvlText w:val="%1.%2"/>
      <w:lvlJc w:val="left"/>
      <w:pPr>
        <w:ind w:left="720" w:hanging="34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D67D37"/>
    <w:multiLevelType w:val="hybridMultilevel"/>
    <w:tmpl w:val="048A62D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282DFE"/>
    <w:multiLevelType w:val="hybridMultilevel"/>
    <w:tmpl w:val="56625A4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0F3616"/>
    <w:multiLevelType w:val="hybridMultilevel"/>
    <w:tmpl w:val="6DD4D23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 w15:restartNumberingAfterBreak="0">
    <w:nsid w:val="171C4AE9"/>
    <w:multiLevelType w:val="hybridMultilevel"/>
    <w:tmpl w:val="9BD0171A"/>
    <w:lvl w:ilvl="0" w:tplc="4B3244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76E7D39"/>
    <w:multiLevelType w:val="multilevel"/>
    <w:tmpl w:val="BEB4A21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DF2AE1"/>
    <w:multiLevelType w:val="hybridMultilevel"/>
    <w:tmpl w:val="C75A72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D10588"/>
    <w:multiLevelType w:val="hybridMultilevel"/>
    <w:tmpl w:val="B59CC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3865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3863DE"/>
    <w:multiLevelType w:val="hybridMultilevel"/>
    <w:tmpl w:val="EC96C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4D0938"/>
    <w:multiLevelType w:val="hybridMultilevel"/>
    <w:tmpl w:val="D5C0B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29BA0CD2"/>
    <w:multiLevelType w:val="hybridMultilevel"/>
    <w:tmpl w:val="263EA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B9240D"/>
    <w:multiLevelType w:val="hybridMultilevel"/>
    <w:tmpl w:val="965A9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9E640B"/>
    <w:multiLevelType w:val="hybridMultilevel"/>
    <w:tmpl w:val="71E2661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2EAD56E7"/>
    <w:multiLevelType w:val="hybridMultilevel"/>
    <w:tmpl w:val="589E3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B325ED"/>
    <w:multiLevelType w:val="hybridMultilevel"/>
    <w:tmpl w:val="7F6A6D60"/>
    <w:lvl w:ilvl="0" w:tplc="78F245E4">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64816E3"/>
    <w:multiLevelType w:val="hybridMultilevel"/>
    <w:tmpl w:val="A8BCABB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3A3D7B"/>
    <w:multiLevelType w:val="multilevel"/>
    <w:tmpl w:val="940ABFD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BC08EC"/>
    <w:multiLevelType w:val="hybridMultilevel"/>
    <w:tmpl w:val="A8BCABB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0B767F6"/>
    <w:multiLevelType w:val="hybridMultilevel"/>
    <w:tmpl w:val="284A2DB2"/>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5A76828"/>
    <w:multiLevelType w:val="hybridMultilevel"/>
    <w:tmpl w:val="E7AC7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39489F"/>
    <w:multiLevelType w:val="hybridMultilevel"/>
    <w:tmpl w:val="638EC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F56E6A"/>
    <w:multiLevelType w:val="multilevel"/>
    <w:tmpl w:val="CD8AC712"/>
    <w:lvl w:ilvl="0">
      <w:start w:val="1"/>
      <w:numFmt w:val="decimal"/>
      <w:lvlText w:val="%1."/>
      <w:lvlJc w:val="left"/>
      <w:pPr>
        <w:ind w:left="360" w:hanging="360"/>
      </w:pPr>
      <w:rPr>
        <w:rFonts w:hint="default"/>
        <w:b w:val="0"/>
        <w:bCs w:val="0"/>
      </w:rPr>
    </w:lvl>
    <w:lvl w:ilvl="1">
      <w:start w:val="1"/>
      <w:numFmt w:val="decimal"/>
      <w:lvlText w:val="%1.%2."/>
      <w:lvlJc w:val="left"/>
      <w:pPr>
        <w:ind w:left="432" w:hanging="432"/>
      </w:pPr>
      <w:rPr>
        <w:rFonts w:hint="default"/>
        <w:b w:val="0"/>
        <w:bCs w:val="0"/>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AA7FD4"/>
    <w:multiLevelType w:val="hybridMultilevel"/>
    <w:tmpl w:val="B7B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A6260A"/>
    <w:multiLevelType w:val="hybridMultilevel"/>
    <w:tmpl w:val="0AE078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4E3EE6"/>
    <w:multiLevelType w:val="hybridMultilevel"/>
    <w:tmpl w:val="77B274A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8" w15:restartNumberingAfterBreak="0">
    <w:nsid w:val="52914834"/>
    <w:multiLevelType w:val="hybridMultilevel"/>
    <w:tmpl w:val="6C72EA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6C2DE2"/>
    <w:multiLevelType w:val="hybridMultilevel"/>
    <w:tmpl w:val="D29C3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7C2211"/>
    <w:multiLevelType w:val="hybridMultilevel"/>
    <w:tmpl w:val="1C8EF71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1" w15:restartNumberingAfterBreak="0">
    <w:nsid w:val="5C5156E0"/>
    <w:multiLevelType w:val="multilevel"/>
    <w:tmpl w:val="0E3C95E2"/>
    <w:styleLink w:val="NumberedList"/>
    <w:lvl w:ilvl="0">
      <w:start w:val="1"/>
      <w:numFmt w:val="decimal"/>
      <w:pStyle w:val="Heading5"/>
      <w:lvlText w:val="%1."/>
      <w:lvlJc w:val="left"/>
      <w:pPr>
        <w:ind w:left="0" w:firstLine="0"/>
      </w:pPr>
      <w:rPr>
        <w:rFonts w:ascii="Arial" w:hAnsi="Arial" w:hint="default"/>
        <w:b/>
        <w:i w:val="0"/>
        <w:color w:val="007F9F"/>
        <w:sz w:val="24"/>
      </w:rPr>
    </w:lvl>
    <w:lvl w:ilvl="1">
      <w:start w:val="1"/>
      <w:numFmt w:val="decimal"/>
      <w:pStyle w:val="11"/>
      <w:lvlText w:val="%1.%2"/>
      <w:lvlJc w:val="left"/>
      <w:pPr>
        <w:ind w:left="709" w:hanging="709"/>
      </w:pPr>
      <w:rPr>
        <w:rFonts w:ascii="Arial" w:hAnsi="Arial" w:hint="default"/>
        <w:sz w:val="24"/>
      </w:rPr>
    </w:lvl>
    <w:lvl w:ilvl="2">
      <w:start w:val="1"/>
      <w:numFmt w:val="decimal"/>
      <w:pStyle w:val="111"/>
      <w:lvlText w:val="%1.%2.%3"/>
      <w:lvlJc w:val="left"/>
      <w:pPr>
        <w:tabs>
          <w:tab w:val="num" w:pos="1559"/>
        </w:tabs>
        <w:ind w:left="1418" w:hanging="709"/>
      </w:pPr>
      <w:rPr>
        <w:rFonts w:ascii="Arial" w:hAnsi="Arial" w:hint="default"/>
        <w:sz w:val="24"/>
      </w:rPr>
    </w:lvl>
    <w:lvl w:ilvl="3">
      <w:start w:val="1"/>
      <w:numFmt w:val="decimal"/>
      <w:pStyle w:val="1111"/>
      <w:lvlText w:val="%1.%2.%3.%4"/>
      <w:lvlJc w:val="left"/>
      <w:pPr>
        <w:tabs>
          <w:tab w:val="num" w:pos="1559"/>
        </w:tabs>
        <w:ind w:left="2268" w:hanging="850"/>
      </w:pPr>
      <w:rPr>
        <w:rFonts w:ascii="Arial" w:hAnsi="Arial"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7B62E1"/>
    <w:multiLevelType w:val="hybridMultilevel"/>
    <w:tmpl w:val="5FF4A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A07A26"/>
    <w:multiLevelType w:val="hybridMultilevel"/>
    <w:tmpl w:val="13DC34B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20043C1"/>
    <w:multiLevelType w:val="hybridMultilevel"/>
    <w:tmpl w:val="152A30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5C58EE"/>
    <w:multiLevelType w:val="hybridMultilevel"/>
    <w:tmpl w:val="B6BE1B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0809EA"/>
    <w:multiLevelType w:val="multilevel"/>
    <w:tmpl w:val="0E3C95E2"/>
    <w:numStyleLink w:val="NumberedList"/>
  </w:abstractNum>
  <w:abstractNum w:abstractNumId="37" w15:restartNumberingAfterBreak="0">
    <w:nsid w:val="79115CCF"/>
    <w:multiLevelType w:val="hybridMultilevel"/>
    <w:tmpl w:val="63E83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6913BE"/>
    <w:multiLevelType w:val="hybridMultilevel"/>
    <w:tmpl w:val="358E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DF9168F"/>
    <w:multiLevelType w:val="hybridMultilevel"/>
    <w:tmpl w:val="1D409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5346646">
    <w:abstractNumId w:val="0"/>
  </w:num>
  <w:num w:numId="2" w16cid:durableId="2137479677">
    <w:abstractNumId w:val="30"/>
  </w:num>
  <w:num w:numId="3" w16cid:durableId="1486820260">
    <w:abstractNumId w:val="38"/>
  </w:num>
  <w:num w:numId="4" w16cid:durableId="439376246">
    <w:abstractNumId w:val="11"/>
  </w:num>
  <w:num w:numId="5" w16cid:durableId="1394237420">
    <w:abstractNumId w:val="12"/>
  </w:num>
  <w:num w:numId="6" w16cid:durableId="1808208535">
    <w:abstractNumId w:val="29"/>
  </w:num>
  <w:num w:numId="7" w16cid:durableId="179125130">
    <w:abstractNumId w:val="14"/>
  </w:num>
  <w:num w:numId="8" w16cid:durableId="653223324">
    <w:abstractNumId w:val="9"/>
  </w:num>
  <w:num w:numId="9" w16cid:durableId="1184318343">
    <w:abstractNumId w:val="39"/>
  </w:num>
  <w:num w:numId="10" w16cid:durableId="2118210551">
    <w:abstractNumId w:val="23"/>
  </w:num>
  <w:num w:numId="11" w16cid:durableId="805852797">
    <w:abstractNumId w:val="16"/>
  </w:num>
  <w:num w:numId="12" w16cid:durableId="598608263">
    <w:abstractNumId w:val="1"/>
  </w:num>
  <w:num w:numId="13" w16cid:durableId="972907952">
    <w:abstractNumId w:val="37"/>
  </w:num>
  <w:num w:numId="14" w16cid:durableId="1528446100">
    <w:abstractNumId w:val="32"/>
  </w:num>
  <w:num w:numId="15" w16cid:durableId="1662197300">
    <w:abstractNumId w:val="13"/>
  </w:num>
  <w:num w:numId="16" w16cid:durableId="799878468">
    <w:abstractNumId w:val="22"/>
  </w:num>
  <w:num w:numId="17" w16cid:durableId="1333218456">
    <w:abstractNumId w:val="25"/>
  </w:num>
  <w:num w:numId="18" w16cid:durableId="799616849">
    <w:abstractNumId w:val="15"/>
  </w:num>
  <w:num w:numId="19" w16cid:durableId="678506015">
    <w:abstractNumId w:val="19"/>
  </w:num>
  <w:num w:numId="20" w16cid:durableId="1096755183">
    <w:abstractNumId w:val="24"/>
  </w:num>
  <w:num w:numId="21" w16cid:durableId="1947805588">
    <w:abstractNumId w:val="2"/>
  </w:num>
  <w:num w:numId="22" w16cid:durableId="41558136">
    <w:abstractNumId w:val="31"/>
  </w:num>
  <w:num w:numId="23" w16cid:durableId="1934318267">
    <w:abstractNumId w:val="36"/>
    <w:lvlOverride w:ilvl="0">
      <w:lvl w:ilvl="0">
        <w:start w:val="1"/>
        <w:numFmt w:val="decimal"/>
        <w:pStyle w:val="Heading5"/>
        <w:lvlText w:val="%1."/>
        <w:lvlJc w:val="left"/>
        <w:pPr>
          <w:ind w:left="0" w:firstLine="0"/>
        </w:pPr>
        <w:rPr>
          <w:rFonts w:ascii="Arial" w:hAnsi="Arial" w:hint="default"/>
          <w:b/>
          <w:i w:val="0"/>
          <w:color w:val="007F9F"/>
          <w:sz w:val="24"/>
        </w:rPr>
      </w:lvl>
    </w:lvlOverride>
    <w:lvlOverride w:ilvl="1">
      <w:lvl w:ilvl="1">
        <w:start w:val="1"/>
        <w:numFmt w:val="decimal"/>
        <w:pStyle w:val="11"/>
        <w:lvlText w:val="%1.%2"/>
        <w:lvlJc w:val="left"/>
        <w:pPr>
          <w:ind w:left="709" w:hanging="709"/>
        </w:pPr>
        <w:rPr>
          <w:rFonts w:ascii="Arial" w:hAnsi="Arial" w:hint="default"/>
          <w:sz w:val="24"/>
        </w:rPr>
      </w:lvl>
    </w:lvlOverride>
    <w:lvlOverride w:ilvl="2">
      <w:lvl w:ilvl="2">
        <w:start w:val="1"/>
        <w:numFmt w:val="decimal"/>
        <w:pStyle w:val="111"/>
        <w:lvlText w:val="%1.%2.%3"/>
        <w:lvlJc w:val="left"/>
        <w:pPr>
          <w:tabs>
            <w:tab w:val="num" w:pos="1559"/>
          </w:tabs>
          <w:ind w:left="1418" w:hanging="709"/>
        </w:pPr>
        <w:rPr>
          <w:rFonts w:ascii="Arial" w:hAnsi="Arial" w:hint="default"/>
          <w:sz w:val="24"/>
        </w:rPr>
      </w:lvl>
    </w:lvlOverride>
    <w:lvlOverride w:ilvl="3">
      <w:lvl w:ilvl="3">
        <w:start w:val="1"/>
        <w:numFmt w:val="decimal"/>
        <w:pStyle w:val="1111"/>
        <w:lvlText w:val="%1.%2.%3.%4"/>
        <w:lvlJc w:val="left"/>
        <w:pPr>
          <w:tabs>
            <w:tab w:val="num" w:pos="1559"/>
          </w:tabs>
          <w:ind w:left="2268" w:hanging="850"/>
        </w:pPr>
        <w:rPr>
          <w:rFonts w:ascii="Arial" w:hAnsi="Arial" w:hint="default"/>
          <w:sz w:val="24"/>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147329207">
    <w:abstractNumId w:val="6"/>
  </w:num>
  <w:num w:numId="25" w16cid:durableId="901408442">
    <w:abstractNumId w:val="33"/>
  </w:num>
  <w:num w:numId="26" w16cid:durableId="736512496">
    <w:abstractNumId w:val="3"/>
  </w:num>
  <w:num w:numId="27" w16cid:durableId="999506208">
    <w:abstractNumId w:val="35"/>
  </w:num>
  <w:num w:numId="28" w16cid:durableId="744690374">
    <w:abstractNumId w:val="8"/>
  </w:num>
  <w:num w:numId="29" w16cid:durableId="1581329827">
    <w:abstractNumId w:val="4"/>
  </w:num>
  <w:num w:numId="30" w16cid:durableId="243803384">
    <w:abstractNumId w:val="18"/>
  </w:num>
  <w:num w:numId="31" w16cid:durableId="1565023942">
    <w:abstractNumId w:val="21"/>
  </w:num>
  <w:num w:numId="32" w16cid:durableId="533614868">
    <w:abstractNumId w:val="17"/>
  </w:num>
  <w:num w:numId="33" w16cid:durableId="1378551193">
    <w:abstractNumId w:val="34"/>
  </w:num>
  <w:num w:numId="34" w16cid:durableId="1137796237">
    <w:abstractNumId w:val="28"/>
  </w:num>
  <w:num w:numId="35" w16cid:durableId="1899825911">
    <w:abstractNumId w:val="20"/>
  </w:num>
  <w:num w:numId="36" w16cid:durableId="767819877">
    <w:abstractNumId w:val="26"/>
  </w:num>
  <w:num w:numId="37" w16cid:durableId="631323565">
    <w:abstractNumId w:val="7"/>
  </w:num>
  <w:num w:numId="38" w16cid:durableId="773357353">
    <w:abstractNumId w:val="10"/>
  </w:num>
  <w:num w:numId="39" w16cid:durableId="771433002">
    <w:abstractNumId w:val="27"/>
  </w:num>
  <w:num w:numId="40" w16cid:durableId="1418399935">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FB"/>
    <w:rsid w:val="00001908"/>
    <w:rsid w:val="00001DAC"/>
    <w:rsid w:val="00001DD5"/>
    <w:rsid w:val="00003065"/>
    <w:rsid w:val="0001029A"/>
    <w:rsid w:val="00012C1D"/>
    <w:rsid w:val="00013D14"/>
    <w:rsid w:val="00015F34"/>
    <w:rsid w:val="000168E6"/>
    <w:rsid w:val="0002143F"/>
    <w:rsid w:val="0002190D"/>
    <w:rsid w:val="000228E0"/>
    <w:rsid w:val="00023C13"/>
    <w:rsid w:val="00026894"/>
    <w:rsid w:val="0002783C"/>
    <w:rsid w:val="00030224"/>
    <w:rsid w:val="00030661"/>
    <w:rsid w:val="00031333"/>
    <w:rsid w:val="00032B2D"/>
    <w:rsid w:val="000330DD"/>
    <w:rsid w:val="000332BC"/>
    <w:rsid w:val="0003794E"/>
    <w:rsid w:val="000401E9"/>
    <w:rsid w:val="00041976"/>
    <w:rsid w:val="00041CC7"/>
    <w:rsid w:val="00042440"/>
    <w:rsid w:val="0004260D"/>
    <w:rsid w:val="00042C3E"/>
    <w:rsid w:val="0004376A"/>
    <w:rsid w:val="0004490D"/>
    <w:rsid w:val="00044DAE"/>
    <w:rsid w:val="00046D59"/>
    <w:rsid w:val="00047402"/>
    <w:rsid w:val="000518DA"/>
    <w:rsid w:val="000527CC"/>
    <w:rsid w:val="00053307"/>
    <w:rsid w:val="0005356C"/>
    <w:rsid w:val="000539ED"/>
    <w:rsid w:val="00055223"/>
    <w:rsid w:val="000555AC"/>
    <w:rsid w:val="00057EFF"/>
    <w:rsid w:val="00067463"/>
    <w:rsid w:val="00070D30"/>
    <w:rsid w:val="0007145C"/>
    <w:rsid w:val="00075AAF"/>
    <w:rsid w:val="000765E7"/>
    <w:rsid w:val="00077119"/>
    <w:rsid w:val="000810B1"/>
    <w:rsid w:val="00084EA7"/>
    <w:rsid w:val="000871CA"/>
    <w:rsid w:val="0008729B"/>
    <w:rsid w:val="0009006B"/>
    <w:rsid w:val="000952C3"/>
    <w:rsid w:val="000962AD"/>
    <w:rsid w:val="0009634D"/>
    <w:rsid w:val="00096876"/>
    <w:rsid w:val="000A1666"/>
    <w:rsid w:val="000A2CAD"/>
    <w:rsid w:val="000A4EE7"/>
    <w:rsid w:val="000B55AA"/>
    <w:rsid w:val="000B5A56"/>
    <w:rsid w:val="000B5FAF"/>
    <w:rsid w:val="000C01CF"/>
    <w:rsid w:val="000C1EC9"/>
    <w:rsid w:val="000C277F"/>
    <w:rsid w:val="000C3C1A"/>
    <w:rsid w:val="000C43E9"/>
    <w:rsid w:val="000C5AF3"/>
    <w:rsid w:val="000C5DE8"/>
    <w:rsid w:val="000C600C"/>
    <w:rsid w:val="000D4A9A"/>
    <w:rsid w:val="000D4EE2"/>
    <w:rsid w:val="000D5FCD"/>
    <w:rsid w:val="000D6C5B"/>
    <w:rsid w:val="000D7AFA"/>
    <w:rsid w:val="000E15B3"/>
    <w:rsid w:val="000E3A65"/>
    <w:rsid w:val="000E4BEE"/>
    <w:rsid w:val="000E50F6"/>
    <w:rsid w:val="000E656E"/>
    <w:rsid w:val="000F10CB"/>
    <w:rsid w:val="000F1AE8"/>
    <w:rsid w:val="000F2222"/>
    <w:rsid w:val="000F4A83"/>
    <w:rsid w:val="000F4FAE"/>
    <w:rsid w:val="000F5D9C"/>
    <w:rsid w:val="00102C05"/>
    <w:rsid w:val="0010363F"/>
    <w:rsid w:val="00103E97"/>
    <w:rsid w:val="001041B7"/>
    <w:rsid w:val="0010440E"/>
    <w:rsid w:val="00104FA3"/>
    <w:rsid w:val="0010507F"/>
    <w:rsid w:val="00106B29"/>
    <w:rsid w:val="00106C8A"/>
    <w:rsid w:val="00107865"/>
    <w:rsid w:val="00110856"/>
    <w:rsid w:val="00111B9A"/>
    <w:rsid w:val="00111FD8"/>
    <w:rsid w:val="00114234"/>
    <w:rsid w:val="00114B68"/>
    <w:rsid w:val="00114D75"/>
    <w:rsid w:val="00115B5B"/>
    <w:rsid w:val="001178A9"/>
    <w:rsid w:val="00117E1F"/>
    <w:rsid w:val="00120891"/>
    <w:rsid w:val="0012596A"/>
    <w:rsid w:val="00132CAA"/>
    <w:rsid w:val="00133B9A"/>
    <w:rsid w:val="0013623A"/>
    <w:rsid w:val="00137D81"/>
    <w:rsid w:val="00140CAC"/>
    <w:rsid w:val="00142011"/>
    <w:rsid w:val="00144CBB"/>
    <w:rsid w:val="00145015"/>
    <w:rsid w:val="00145C18"/>
    <w:rsid w:val="001469A7"/>
    <w:rsid w:val="00147094"/>
    <w:rsid w:val="001476DB"/>
    <w:rsid w:val="00153C5E"/>
    <w:rsid w:val="00155F3F"/>
    <w:rsid w:val="00160F90"/>
    <w:rsid w:val="00163725"/>
    <w:rsid w:val="00164501"/>
    <w:rsid w:val="001650F3"/>
    <w:rsid w:val="00170665"/>
    <w:rsid w:val="00170CF4"/>
    <w:rsid w:val="00172D3C"/>
    <w:rsid w:val="00172EDA"/>
    <w:rsid w:val="0017331C"/>
    <w:rsid w:val="00173323"/>
    <w:rsid w:val="00173F7F"/>
    <w:rsid w:val="0017697F"/>
    <w:rsid w:val="00177F93"/>
    <w:rsid w:val="00180C5F"/>
    <w:rsid w:val="0018225B"/>
    <w:rsid w:val="00182EFE"/>
    <w:rsid w:val="00184AA9"/>
    <w:rsid w:val="00186C74"/>
    <w:rsid w:val="00192356"/>
    <w:rsid w:val="001927DA"/>
    <w:rsid w:val="001939CD"/>
    <w:rsid w:val="001945B5"/>
    <w:rsid w:val="00196AC5"/>
    <w:rsid w:val="00196FD7"/>
    <w:rsid w:val="001A25B2"/>
    <w:rsid w:val="001A36AE"/>
    <w:rsid w:val="001A3CAD"/>
    <w:rsid w:val="001A628C"/>
    <w:rsid w:val="001A79DB"/>
    <w:rsid w:val="001A7D23"/>
    <w:rsid w:val="001B34BB"/>
    <w:rsid w:val="001B4906"/>
    <w:rsid w:val="001B4EF4"/>
    <w:rsid w:val="001B5939"/>
    <w:rsid w:val="001C1505"/>
    <w:rsid w:val="001C2204"/>
    <w:rsid w:val="001C4055"/>
    <w:rsid w:val="001C4724"/>
    <w:rsid w:val="001C4A6D"/>
    <w:rsid w:val="001C5808"/>
    <w:rsid w:val="001C6E23"/>
    <w:rsid w:val="001C7FE2"/>
    <w:rsid w:val="001D282E"/>
    <w:rsid w:val="001D5B82"/>
    <w:rsid w:val="001E65E1"/>
    <w:rsid w:val="001E7322"/>
    <w:rsid w:val="001F0AF5"/>
    <w:rsid w:val="001F4D2F"/>
    <w:rsid w:val="001F4DE1"/>
    <w:rsid w:val="001F641D"/>
    <w:rsid w:val="001F669D"/>
    <w:rsid w:val="001F6E58"/>
    <w:rsid w:val="001F74F1"/>
    <w:rsid w:val="001F76FF"/>
    <w:rsid w:val="00200C1A"/>
    <w:rsid w:val="00205334"/>
    <w:rsid w:val="002054D9"/>
    <w:rsid w:val="002075A9"/>
    <w:rsid w:val="002076A7"/>
    <w:rsid w:val="00207D7D"/>
    <w:rsid w:val="0021369B"/>
    <w:rsid w:val="002165FC"/>
    <w:rsid w:val="00220324"/>
    <w:rsid w:val="00220676"/>
    <w:rsid w:val="002207A5"/>
    <w:rsid w:val="00220DD1"/>
    <w:rsid w:val="0022498D"/>
    <w:rsid w:val="00225D0D"/>
    <w:rsid w:val="00226372"/>
    <w:rsid w:val="002275DF"/>
    <w:rsid w:val="0023078B"/>
    <w:rsid w:val="00231C36"/>
    <w:rsid w:val="00232BD9"/>
    <w:rsid w:val="0023381F"/>
    <w:rsid w:val="0023445B"/>
    <w:rsid w:val="00235827"/>
    <w:rsid w:val="0023727B"/>
    <w:rsid w:val="0023792B"/>
    <w:rsid w:val="00241235"/>
    <w:rsid w:val="00243E31"/>
    <w:rsid w:val="002459C6"/>
    <w:rsid w:val="00245B42"/>
    <w:rsid w:val="00246518"/>
    <w:rsid w:val="00247A4A"/>
    <w:rsid w:val="00247A73"/>
    <w:rsid w:val="00250A3B"/>
    <w:rsid w:val="00251B34"/>
    <w:rsid w:val="00252459"/>
    <w:rsid w:val="00252D62"/>
    <w:rsid w:val="00254529"/>
    <w:rsid w:val="00254AE4"/>
    <w:rsid w:val="00256EDB"/>
    <w:rsid w:val="00261A13"/>
    <w:rsid w:val="00263BBF"/>
    <w:rsid w:val="00263D0B"/>
    <w:rsid w:val="00264354"/>
    <w:rsid w:val="0026484C"/>
    <w:rsid w:val="00270202"/>
    <w:rsid w:val="00270340"/>
    <w:rsid w:val="00274504"/>
    <w:rsid w:val="00274935"/>
    <w:rsid w:val="00276052"/>
    <w:rsid w:val="0027700F"/>
    <w:rsid w:val="002772F5"/>
    <w:rsid w:val="0027766F"/>
    <w:rsid w:val="00281260"/>
    <w:rsid w:val="00284518"/>
    <w:rsid w:val="002905D1"/>
    <w:rsid w:val="00294F49"/>
    <w:rsid w:val="0029583D"/>
    <w:rsid w:val="002A0704"/>
    <w:rsid w:val="002A40C4"/>
    <w:rsid w:val="002B1362"/>
    <w:rsid w:val="002B1507"/>
    <w:rsid w:val="002B1EBB"/>
    <w:rsid w:val="002B357D"/>
    <w:rsid w:val="002B570A"/>
    <w:rsid w:val="002B5B37"/>
    <w:rsid w:val="002B5E01"/>
    <w:rsid w:val="002C106D"/>
    <w:rsid w:val="002C6CB0"/>
    <w:rsid w:val="002D553E"/>
    <w:rsid w:val="002D7317"/>
    <w:rsid w:val="002E0C09"/>
    <w:rsid w:val="002E3CF3"/>
    <w:rsid w:val="002E4474"/>
    <w:rsid w:val="002E7442"/>
    <w:rsid w:val="002F0181"/>
    <w:rsid w:val="002F05A5"/>
    <w:rsid w:val="002F2883"/>
    <w:rsid w:val="002F5CC7"/>
    <w:rsid w:val="002F6B91"/>
    <w:rsid w:val="002F7729"/>
    <w:rsid w:val="0030041F"/>
    <w:rsid w:val="00300ACF"/>
    <w:rsid w:val="003031F8"/>
    <w:rsid w:val="003053BD"/>
    <w:rsid w:val="00305618"/>
    <w:rsid w:val="003056E2"/>
    <w:rsid w:val="003074B4"/>
    <w:rsid w:val="00312862"/>
    <w:rsid w:val="00312CB6"/>
    <w:rsid w:val="0031425D"/>
    <w:rsid w:val="00314301"/>
    <w:rsid w:val="00317DA0"/>
    <w:rsid w:val="0032114E"/>
    <w:rsid w:val="003215B6"/>
    <w:rsid w:val="00322103"/>
    <w:rsid w:val="0032424C"/>
    <w:rsid w:val="0032527E"/>
    <w:rsid w:val="003262F9"/>
    <w:rsid w:val="003274DE"/>
    <w:rsid w:val="0033061B"/>
    <w:rsid w:val="00330A8F"/>
    <w:rsid w:val="003318B5"/>
    <w:rsid w:val="0033309D"/>
    <w:rsid w:val="00333E25"/>
    <w:rsid w:val="0033530F"/>
    <w:rsid w:val="0034142C"/>
    <w:rsid w:val="0034165B"/>
    <w:rsid w:val="0034224D"/>
    <w:rsid w:val="00345794"/>
    <w:rsid w:val="00346650"/>
    <w:rsid w:val="0035051C"/>
    <w:rsid w:val="00352102"/>
    <w:rsid w:val="0035312A"/>
    <w:rsid w:val="00354E1B"/>
    <w:rsid w:val="003553E8"/>
    <w:rsid w:val="003566F5"/>
    <w:rsid w:val="00357CE4"/>
    <w:rsid w:val="0036043D"/>
    <w:rsid w:val="0036391A"/>
    <w:rsid w:val="00371C90"/>
    <w:rsid w:val="00371D20"/>
    <w:rsid w:val="003753E9"/>
    <w:rsid w:val="00381315"/>
    <w:rsid w:val="00381C6C"/>
    <w:rsid w:val="00381F6B"/>
    <w:rsid w:val="00383A23"/>
    <w:rsid w:val="0038426F"/>
    <w:rsid w:val="00386634"/>
    <w:rsid w:val="0038773E"/>
    <w:rsid w:val="00387932"/>
    <w:rsid w:val="00390181"/>
    <w:rsid w:val="003935B4"/>
    <w:rsid w:val="00393BE3"/>
    <w:rsid w:val="00397C34"/>
    <w:rsid w:val="00397F68"/>
    <w:rsid w:val="003A1689"/>
    <w:rsid w:val="003B0550"/>
    <w:rsid w:val="003B0564"/>
    <w:rsid w:val="003C0D8E"/>
    <w:rsid w:val="003C4A4A"/>
    <w:rsid w:val="003C5ABD"/>
    <w:rsid w:val="003C5CB5"/>
    <w:rsid w:val="003C7B12"/>
    <w:rsid w:val="003D0375"/>
    <w:rsid w:val="003D0785"/>
    <w:rsid w:val="003D52B5"/>
    <w:rsid w:val="003D750D"/>
    <w:rsid w:val="003E0325"/>
    <w:rsid w:val="003E7992"/>
    <w:rsid w:val="003F4659"/>
    <w:rsid w:val="003F5239"/>
    <w:rsid w:val="003F5892"/>
    <w:rsid w:val="004006F3"/>
    <w:rsid w:val="004065EC"/>
    <w:rsid w:val="00407FF9"/>
    <w:rsid w:val="004106F9"/>
    <w:rsid w:val="00411D53"/>
    <w:rsid w:val="004122F9"/>
    <w:rsid w:val="00413ACD"/>
    <w:rsid w:val="00413ADB"/>
    <w:rsid w:val="004150E4"/>
    <w:rsid w:val="004170C5"/>
    <w:rsid w:val="00424EE0"/>
    <w:rsid w:val="00425B28"/>
    <w:rsid w:val="004332A1"/>
    <w:rsid w:val="00433DE3"/>
    <w:rsid w:val="0044272D"/>
    <w:rsid w:val="00445406"/>
    <w:rsid w:val="00446FD6"/>
    <w:rsid w:val="004514E6"/>
    <w:rsid w:val="0045173F"/>
    <w:rsid w:val="004521EA"/>
    <w:rsid w:val="00453B38"/>
    <w:rsid w:val="00456602"/>
    <w:rsid w:val="00457CC0"/>
    <w:rsid w:val="004611F2"/>
    <w:rsid w:val="00461258"/>
    <w:rsid w:val="00463B08"/>
    <w:rsid w:val="004655BB"/>
    <w:rsid w:val="004728B4"/>
    <w:rsid w:val="004762E0"/>
    <w:rsid w:val="0048439F"/>
    <w:rsid w:val="0048520F"/>
    <w:rsid w:val="004852D9"/>
    <w:rsid w:val="004856E8"/>
    <w:rsid w:val="00485BD1"/>
    <w:rsid w:val="004862B6"/>
    <w:rsid w:val="004924B8"/>
    <w:rsid w:val="0049416F"/>
    <w:rsid w:val="00494CFF"/>
    <w:rsid w:val="004952BF"/>
    <w:rsid w:val="0049622B"/>
    <w:rsid w:val="004A046E"/>
    <w:rsid w:val="004A3B39"/>
    <w:rsid w:val="004A4740"/>
    <w:rsid w:val="004A507E"/>
    <w:rsid w:val="004A5B3F"/>
    <w:rsid w:val="004B0316"/>
    <w:rsid w:val="004B0CD1"/>
    <w:rsid w:val="004B1FDE"/>
    <w:rsid w:val="004B57B1"/>
    <w:rsid w:val="004B5F77"/>
    <w:rsid w:val="004C0BAE"/>
    <w:rsid w:val="004C21D4"/>
    <w:rsid w:val="004C5DD9"/>
    <w:rsid w:val="004C699F"/>
    <w:rsid w:val="004D0235"/>
    <w:rsid w:val="004D2591"/>
    <w:rsid w:val="004D31BB"/>
    <w:rsid w:val="004D5A7B"/>
    <w:rsid w:val="004D5A9A"/>
    <w:rsid w:val="004E54B5"/>
    <w:rsid w:val="004E637D"/>
    <w:rsid w:val="004E6D97"/>
    <w:rsid w:val="004F1060"/>
    <w:rsid w:val="004F2665"/>
    <w:rsid w:val="004F7E20"/>
    <w:rsid w:val="00501035"/>
    <w:rsid w:val="00505269"/>
    <w:rsid w:val="005106C2"/>
    <w:rsid w:val="00511433"/>
    <w:rsid w:val="00512AAA"/>
    <w:rsid w:val="0051495C"/>
    <w:rsid w:val="00514A66"/>
    <w:rsid w:val="0051519C"/>
    <w:rsid w:val="0051707D"/>
    <w:rsid w:val="005205F9"/>
    <w:rsid w:val="00520E03"/>
    <w:rsid w:val="00522A31"/>
    <w:rsid w:val="005233E6"/>
    <w:rsid w:val="005263E2"/>
    <w:rsid w:val="00526690"/>
    <w:rsid w:val="005279F5"/>
    <w:rsid w:val="0053276A"/>
    <w:rsid w:val="005340C6"/>
    <w:rsid w:val="00534941"/>
    <w:rsid w:val="005426B7"/>
    <w:rsid w:val="00543B32"/>
    <w:rsid w:val="00543F45"/>
    <w:rsid w:val="00544925"/>
    <w:rsid w:val="0054611B"/>
    <w:rsid w:val="00550B08"/>
    <w:rsid w:val="00551B17"/>
    <w:rsid w:val="00557916"/>
    <w:rsid w:val="00562B4D"/>
    <w:rsid w:val="00563718"/>
    <w:rsid w:val="005646D5"/>
    <w:rsid w:val="00564D6F"/>
    <w:rsid w:val="0056561E"/>
    <w:rsid w:val="005671E4"/>
    <w:rsid w:val="00567782"/>
    <w:rsid w:val="005679BF"/>
    <w:rsid w:val="00571741"/>
    <w:rsid w:val="00571A40"/>
    <w:rsid w:val="005762D9"/>
    <w:rsid w:val="00576737"/>
    <w:rsid w:val="0057732F"/>
    <w:rsid w:val="00590DCC"/>
    <w:rsid w:val="00592238"/>
    <w:rsid w:val="00594EE3"/>
    <w:rsid w:val="00596242"/>
    <w:rsid w:val="005A2860"/>
    <w:rsid w:val="005A28F2"/>
    <w:rsid w:val="005A313F"/>
    <w:rsid w:val="005A55B0"/>
    <w:rsid w:val="005A5714"/>
    <w:rsid w:val="005A6D59"/>
    <w:rsid w:val="005A71B3"/>
    <w:rsid w:val="005A77A9"/>
    <w:rsid w:val="005B10DF"/>
    <w:rsid w:val="005B1B2A"/>
    <w:rsid w:val="005B352C"/>
    <w:rsid w:val="005B3743"/>
    <w:rsid w:val="005B3E1B"/>
    <w:rsid w:val="005B586D"/>
    <w:rsid w:val="005B6CD7"/>
    <w:rsid w:val="005B7187"/>
    <w:rsid w:val="005C0921"/>
    <w:rsid w:val="005C1D32"/>
    <w:rsid w:val="005C20FB"/>
    <w:rsid w:val="005C393C"/>
    <w:rsid w:val="005C4143"/>
    <w:rsid w:val="005C68DA"/>
    <w:rsid w:val="005D02E3"/>
    <w:rsid w:val="005D17D4"/>
    <w:rsid w:val="005D6A5F"/>
    <w:rsid w:val="005D76CB"/>
    <w:rsid w:val="005E05D2"/>
    <w:rsid w:val="005E644C"/>
    <w:rsid w:val="005E6574"/>
    <w:rsid w:val="005E6844"/>
    <w:rsid w:val="005E793D"/>
    <w:rsid w:val="005F230F"/>
    <w:rsid w:val="005F2BB1"/>
    <w:rsid w:val="005F64C0"/>
    <w:rsid w:val="00601A49"/>
    <w:rsid w:val="00601CDE"/>
    <w:rsid w:val="00604754"/>
    <w:rsid w:val="00606718"/>
    <w:rsid w:val="006068AD"/>
    <w:rsid w:val="00606D6D"/>
    <w:rsid w:val="00607974"/>
    <w:rsid w:val="00610128"/>
    <w:rsid w:val="006102F9"/>
    <w:rsid w:val="00612198"/>
    <w:rsid w:val="0061317E"/>
    <w:rsid w:val="006148BE"/>
    <w:rsid w:val="00615CFE"/>
    <w:rsid w:val="00616392"/>
    <w:rsid w:val="00616B70"/>
    <w:rsid w:val="00617AA1"/>
    <w:rsid w:val="00617CBC"/>
    <w:rsid w:val="00624C24"/>
    <w:rsid w:val="0063031A"/>
    <w:rsid w:val="0063355F"/>
    <w:rsid w:val="006344E3"/>
    <w:rsid w:val="00636A72"/>
    <w:rsid w:val="00636FAC"/>
    <w:rsid w:val="00637F22"/>
    <w:rsid w:val="00642394"/>
    <w:rsid w:val="00642F75"/>
    <w:rsid w:val="00644AD0"/>
    <w:rsid w:val="00645012"/>
    <w:rsid w:val="00647B29"/>
    <w:rsid w:val="00653DC4"/>
    <w:rsid w:val="0065521F"/>
    <w:rsid w:val="00657320"/>
    <w:rsid w:val="00657F9A"/>
    <w:rsid w:val="00662452"/>
    <w:rsid w:val="00664CC5"/>
    <w:rsid w:val="00665A55"/>
    <w:rsid w:val="0066627F"/>
    <w:rsid w:val="00671CF7"/>
    <w:rsid w:val="006729E1"/>
    <w:rsid w:val="0067392E"/>
    <w:rsid w:val="00674B7F"/>
    <w:rsid w:val="00674FA3"/>
    <w:rsid w:val="00677744"/>
    <w:rsid w:val="00681534"/>
    <w:rsid w:val="00682329"/>
    <w:rsid w:val="0068256F"/>
    <w:rsid w:val="00684835"/>
    <w:rsid w:val="006856F0"/>
    <w:rsid w:val="00685A4B"/>
    <w:rsid w:val="00686DF7"/>
    <w:rsid w:val="00690DEC"/>
    <w:rsid w:val="00691F1D"/>
    <w:rsid w:val="00691FE1"/>
    <w:rsid w:val="006928D9"/>
    <w:rsid w:val="00697A7D"/>
    <w:rsid w:val="006A0214"/>
    <w:rsid w:val="006A03B1"/>
    <w:rsid w:val="006A1F0F"/>
    <w:rsid w:val="006A2B4F"/>
    <w:rsid w:val="006A4BE7"/>
    <w:rsid w:val="006B4C5E"/>
    <w:rsid w:val="006C16B8"/>
    <w:rsid w:val="006C1AB2"/>
    <w:rsid w:val="006C2012"/>
    <w:rsid w:val="006C69AC"/>
    <w:rsid w:val="006C7565"/>
    <w:rsid w:val="006D138B"/>
    <w:rsid w:val="006D2C14"/>
    <w:rsid w:val="006D397A"/>
    <w:rsid w:val="006D5CCA"/>
    <w:rsid w:val="006D61C6"/>
    <w:rsid w:val="006E38DF"/>
    <w:rsid w:val="006E648F"/>
    <w:rsid w:val="006F1E19"/>
    <w:rsid w:val="006F63B4"/>
    <w:rsid w:val="006F69A2"/>
    <w:rsid w:val="007009C1"/>
    <w:rsid w:val="00710135"/>
    <w:rsid w:val="007137E4"/>
    <w:rsid w:val="00716F18"/>
    <w:rsid w:val="00720538"/>
    <w:rsid w:val="007240A3"/>
    <w:rsid w:val="00725A62"/>
    <w:rsid w:val="00726CCA"/>
    <w:rsid w:val="007321AF"/>
    <w:rsid w:val="007322BB"/>
    <w:rsid w:val="00734702"/>
    <w:rsid w:val="0074552A"/>
    <w:rsid w:val="007474DB"/>
    <w:rsid w:val="00747CA3"/>
    <w:rsid w:val="0075103E"/>
    <w:rsid w:val="00753B59"/>
    <w:rsid w:val="0075563C"/>
    <w:rsid w:val="007575FA"/>
    <w:rsid w:val="0076046E"/>
    <w:rsid w:val="00760829"/>
    <w:rsid w:val="00760AC5"/>
    <w:rsid w:val="00762E64"/>
    <w:rsid w:val="007707D5"/>
    <w:rsid w:val="00781B62"/>
    <w:rsid w:val="00783649"/>
    <w:rsid w:val="00790A72"/>
    <w:rsid w:val="007929D9"/>
    <w:rsid w:val="00793F6E"/>
    <w:rsid w:val="00795E83"/>
    <w:rsid w:val="00796576"/>
    <w:rsid w:val="007A14C6"/>
    <w:rsid w:val="007A2495"/>
    <w:rsid w:val="007A51C7"/>
    <w:rsid w:val="007A6F56"/>
    <w:rsid w:val="007A73AC"/>
    <w:rsid w:val="007A7D41"/>
    <w:rsid w:val="007B0065"/>
    <w:rsid w:val="007B1FBD"/>
    <w:rsid w:val="007B451B"/>
    <w:rsid w:val="007B6365"/>
    <w:rsid w:val="007B7592"/>
    <w:rsid w:val="007C4402"/>
    <w:rsid w:val="007C50FE"/>
    <w:rsid w:val="007C6860"/>
    <w:rsid w:val="007C6F57"/>
    <w:rsid w:val="007D4A07"/>
    <w:rsid w:val="007D5395"/>
    <w:rsid w:val="007D5F71"/>
    <w:rsid w:val="007D7776"/>
    <w:rsid w:val="007E275D"/>
    <w:rsid w:val="007E2EA4"/>
    <w:rsid w:val="007E3696"/>
    <w:rsid w:val="007F1C75"/>
    <w:rsid w:val="007F308D"/>
    <w:rsid w:val="007F4CE9"/>
    <w:rsid w:val="007F564D"/>
    <w:rsid w:val="00801ECD"/>
    <w:rsid w:val="0080211E"/>
    <w:rsid w:val="00803C20"/>
    <w:rsid w:val="00804998"/>
    <w:rsid w:val="0081214E"/>
    <w:rsid w:val="00812C52"/>
    <w:rsid w:val="008142E1"/>
    <w:rsid w:val="00815177"/>
    <w:rsid w:val="008179A7"/>
    <w:rsid w:val="008203E0"/>
    <w:rsid w:val="00826B68"/>
    <w:rsid w:val="0082782D"/>
    <w:rsid w:val="00831B76"/>
    <w:rsid w:val="0083296E"/>
    <w:rsid w:val="00833770"/>
    <w:rsid w:val="00834F92"/>
    <w:rsid w:val="00836210"/>
    <w:rsid w:val="00837837"/>
    <w:rsid w:val="0084283B"/>
    <w:rsid w:val="0084603C"/>
    <w:rsid w:val="0084650B"/>
    <w:rsid w:val="008470F3"/>
    <w:rsid w:val="00847174"/>
    <w:rsid w:val="008517A4"/>
    <w:rsid w:val="00854E2B"/>
    <w:rsid w:val="0085772A"/>
    <w:rsid w:val="00860BF1"/>
    <w:rsid w:val="00862140"/>
    <w:rsid w:val="00863E75"/>
    <w:rsid w:val="00864046"/>
    <w:rsid w:val="00864687"/>
    <w:rsid w:val="00865A19"/>
    <w:rsid w:val="00866348"/>
    <w:rsid w:val="00873008"/>
    <w:rsid w:val="00873D69"/>
    <w:rsid w:val="00874290"/>
    <w:rsid w:val="00880726"/>
    <w:rsid w:val="0088135D"/>
    <w:rsid w:val="008815F9"/>
    <w:rsid w:val="008816A0"/>
    <w:rsid w:val="008832C0"/>
    <w:rsid w:val="00884AE7"/>
    <w:rsid w:val="00884F9F"/>
    <w:rsid w:val="00887B27"/>
    <w:rsid w:val="00891FB7"/>
    <w:rsid w:val="00894C2E"/>
    <w:rsid w:val="0089628C"/>
    <w:rsid w:val="00896CB5"/>
    <w:rsid w:val="008A11C5"/>
    <w:rsid w:val="008A1D33"/>
    <w:rsid w:val="008A2914"/>
    <w:rsid w:val="008A60E1"/>
    <w:rsid w:val="008A6E5B"/>
    <w:rsid w:val="008B3F66"/>
    <w:rsid w:val="008B57A7"/>
    <w:rsid w:val="008B6570"/>
    <w:rsid w:val="008B75AF"/>
    <w:rsid w:val="008B7651"/>
    <w:rsid w:val="008C1E86"/>
    <w:rsid w:val="008C565D"/>
    <w:rsid w:val="008D1694"/>
    <w:rsid w:val="008D3AD3"/>
    <w:rsid w:val="008D3F00"/>
    <w:rsid w:val="008D5AE5"/>
    <w:rsid w:val="008D7691"/>
    <w:rsid w:val="008D7C15"/>
    <w:rsid w:val="008E136E"/>
    <w:rsid w:val="008E3F55"/>
    <w:rsid w:val="008E4660"/>
    <w:rsid w:val="008E4B8A"/>
    <w:rsid w:val="008E5554"/>
    <w:rsid w:val="008F1258"/>
    <w:rsid w:val="008F2F30"/>
    <w:rsid w:val="008F6208"/>
    <w:rsid w:val="008F6829"/>
    <w:rsid w:val="008F6C27"/>
    <w:rsid w:val="008F73E9"/>
    <w:rsid w:val="009154A8"/>
    <w:rsid w:val="009155C4"/>
    <w:rsid w:val="00920D99"/>
    <w:rsid w:val="00923F88"/>
    <w:rsid w:val="00931E04"/>
    <w:rsid w:val="00932734"/>
    <w:rsid w:val="00933AC4"/>
    <w:rsid w:val="00934205"/>
    <w:rsid w:val="00937AED"/>
    <w:rsid w:val="00940C6D"/>
    <w:rsid w:val="00941B53"/>
    <w:rsid w:val="00945B0F"/>
    <w:rsid w:val="00951444"/>
    <w:rsid w:val="00951AD9"/>
    <w:rsid w:val="00954F2D"/>
    <w:rsid w:val="00955984"/>
    <w:rsid w:val="009561BD"/>
    <w:rsid w:val="009572E1"/>
    <w:rsid w:val="009607FF"/>
    <w:rsid w:val="009660A1"/>
    <w:rsid w:val="00970550"/>
    <w:rsid w:val="00974399"/>
    <w:rsid w:val="00977388"/>
    <w:rsid w:val="0098216E"/>
    <w:rsid w:val="0098548B"/>
    <w:rsid w:val="009902B4"/>
    <w:rsid w:val="00992F8F"/>
    <w:rsid w:val="009931EA"/>
    <w:rsid w:val="009956EC"/>
    <w:rsid w:val="00997212"/>
    <w:rsid w:val="009975D7"/>
    <w:rsid w:val="009A1777"/>
    <w:rsid w:val="009A2780"/>
    <w:rsid w:val="009A44AF"/>
    <w:rsid w:val="009A714F"/>
    <w:rsid w:val="009A7191"/>
    <w:rsid w:val="009A72CC"/>
    <w:rsid w:val="009A79F9"/>
    <w:rsid w:val="009B0511"/>
    <w:rsid w:val="009B443C"/>
    <w:rsid w:val="009B62B3"/>
    <w:rsid w:val="009B6353"/>
    <w:rsid w:val="009B6479"/>
    <w:rsid w:val="009B6764"/>
    <w:rsid w:val="009B6B3C"/>
    <w:rsid w:val="009B71B9"/>
    <w:rsid w:val="009B757B"/>
    <w:rsid w:val="009C06B2"/>
    <w:rsid w:val="009C1D4E"/>
    <w:rsid w:val="009C2521"/>
    <w:rsid w:val="009C6CF4"/>
    <w:rsid w:val="009D00F2"/>
    <w:rsid w:val="009D2733"/>
    <w:rsid w:val="009D5FE2"/>
    <w:rsid w:val="009D688C"/>
    <w:rsid w:val="009D7239"/>
    <w:rsid w:val="009E0310"/>
    <w:rsid w:val="009E1165"/>
    <w:rsid w:val="009E2ABF"/>
    <w:rsid w:val="009E7038"/>
    <w:rsid w:val="009F0A91"/>
    <w:rsid w:val="009F5F2A"/>
    <w:rsid w:val="009F63E1"/>
    <w:rsid w:val="009F70A6"/>
    <w:rsid w:val="00A007B8"/>
    <w:rsid w:val="00A01FC3"/>
    <w:rsid w:val="00A02ABF"/>
    <w:rsid w:val="00A03701"/>
    <w:rsid w:val="00A050B8"/>
    <w:rsid w:val="00A056A6"/>
    <w:rsid w:val="00A06DC8"/>
    <w:rsid w:val="00A11314"/>
    <w:rsid w:val="00A118DD"/>
    <w:rsid w:val="00A11AE2"/>
    <w:rsid w:val="00A152B0"/>
    <w:rsid w:val="00A2042B"/>
    <w:rsid w:val="00A305FE"/>
    <w:rsid w:val="00A32886"/>
    <w:rsid w:val="00A32D7E"/>
    <w:rsid w:val="00A33B88"/>
    <w:rsid w:val="00A35771"/>
    <w:rsid w:val="00A36301"/>
    <w:rsid w:val="00A36308"/>
    <w:rsid w:val="00A363C1"/>
    <w:rsid w:val="00A365F8"/>
    <w:rsid w:val="00A36620"/>
    <w:rsid w:val="00A37224"/>
    <w:rsid w:val="00A41CEE"/>
    <w:rsid w:val="00A423A9"/>
    <w:rsid w:val="00A45BE3"/>
    <w:rsid w:val="00A52087"/>
    <w:rsid w:val="00A5292F"/>
    <w:rsid w:val="00A60548"/>
    <w:rsid w:val="00A64CB1"/>
    <w:rsid w:val="00A67590"/>
    <w:rsid w:val="00A70877"/>
    <w:rsid w:val="00A7247D"/>
    <w:rsid w:val="00A75AC3"/>
    <w:rsid w:val="00A7626B"/>
    <w:rsid w:val="00A76BA1"/>
    <w:rsid w:val="00A840C2"/>
    <w:rsid w:val="00A842BF"/>
    <w:rsid w:val="00A84E3E"/>
    <w:rsid w:val="00A87E66"/>
    <w:rsid w:val="00A908F3"/>
    <w:rsid w:val="00A91BB9"/>
    <w:rsid w:val="00A93A04"/>
    <w:rsid w:val="00A950F0"/>
    <w:rsid w:val="00A95FB0"/>
    <w:rsid w:val="00A970E2"/>
    <w:rsid w:val="00AA2EF3"/>
    <w:rsid w:val="00AA3EAD"/>
    <w:rsid w:val="00AA56D9"/>
    <w:rsid w:val="00AB068C"/>
    <w:rsid w:val="00AB0EBE"/>
    <w:rsid w:val="00AB5C6C"/>
    <w:rsid w:val="00AB605F"/>
    <w:rsid w:val="00AB67C4"/>
    <w:rsid w:val="00AC068C"/>
    <w:rsid w:val="00AC2C9A"/>
    <w:rsid w:val="00AC3102"/>
    <w:rsid w:val="00AC42A6"/>
    <w:rsid w:val="00AD5BAF"/>
    <w:rsid w:val="00AE0491"/>
    <w:rsid w:val="00AE0920"/>
    <w:rsid w:val="00AE2B3C"/>
    <w:rsid w:val="00AE4CCF"/>
    <w:rsid w:val="00AE4F9A"/>
    <w:rsid w:val="00AF1830"/>
    <w:rsid w:val="00AF40E7"/>
    <w:rsid w:val="00AF4A48"/>
    <w:rsid w:val="00AF59A2"/>
    <w:rsid w:val="00B004C9"/>
    <w:rsid w:val="00B05414"/>
    <w:rsid w:val="00B060C7"/>
    <w:rsid w:val="00B06E53"/>
    <w:rsid w:val="00B11C5F"/>
    <w:rsid w:val="00B14E32"/>
    <w:rsid w:val="00B17A55"/>
    <w:rsid w:val="00B204B7"/>
    <w:rsid w:val="00B20E82"/>
    <w:rsid w:val="00B23683"/>
    <w:rsid w:val="00B2646A"/>
    <w:rsid w:val="00B303B0"/>
    <w:rsid w:val="00B30A9B"/>
    <w:rsid w:val="00B313E1"/>
    <w:rsid w:val="00B31524"/>
    <w:rsid w:val="00B331A8"/>
    <w:rsid w:val="00B357E0"/>
    <w:rsid w:val="00B35E9D"/>
    <w:rsid w:val="00B45363"/>
    <w:rsid w:val="00B455E0"/>
    <w:rsid w:val="00B45B8E"/>
    <w:rsid w:val="00B460D7"/>
    <w:rsid w:val="00B51709"/>
    <w:rsid w:val="00B51A48"/>
    <w:rsid w:val="00B55BE0"/>
    <w:rsid w:val="00B55C78"/>
    <w:rsid w:val="00B569D1"/>
    <w:rsid w:val="00B6077A"/>
    <w:rsid w:val="00B60F08"/>
    <w:rsid w:val="00B624D6"/>
    <w:rsid w:val="00B62BEC"/>
    <w:rsid w:val="00B64852"/>
    <w:rsid w:val="00B64FE4"/>
    <w:rsid w:val="00B701A5"/>
    <w:rsid w:val="00B711F7"/>
    <w:rsid w:val="00B7265D"/>
    <w:rsid w:val="00B75EC4"/>
    <w:rsid w:val="00B81131"/>
    <w:rsid w:val="00B811B3"/>
    <w:rsid w:val="00B82190"/>
    <w:rsid w:val="00B82721"/>
    <w:rsid w:val="00B87C51"/>
    <w:rsid w:val="00B9029B"/>
    <w:rsid w:val="00B928BB"/>
    <w:rsid w:val="00B968B8"/>
    <w:rsid w:val="00BA0971"/>
    <w:rsid w:val="00BA13AA"/>
    <w:rsid w:val="00BA17F2"/>
    <w:rsid w:val="00BA4757"/>
    <w:rsid w:val="00BB2BFB"/>
    <w:rsid w:val="00BB6B04"/>
    <w:rsid w:val="00BC25D4"/>
    <w:rsid w:val="00BC4068"/>
    <w:rsid w:val="00BC4CD9"/>
    <w:rsid w:val="00BD3477"/>
    <w:rsid w:val="00BD3C9D"/>
    <w:rsid w:val="00BD4072"/>
    <w:rsid w:val="00BD6116"/>
    <w:rsid w:val="00BE22C8"/>
    <w:rsid w:val="00BE295E"/>
    <w:rsid w:val="00BE42A5"/>
    <w:rsid w:val="00BE56F9"/>
    <w:rsid w:val="00BE7744"/>
    <w:rsid w:val="00BF2245"/>
    <w:rsid w:val="00BF29CE"/>
    <w:rsid w:val="00BF4000"/>
    <w:rsid w:val="00BF5091"/>
    <w:rsid w:val="00BF51D6"/>
    <w:rsid w:val="00BF547E"/>
    <w:rsid w:val="00BF5605"/>
    <w:rsid w:val="00BF62B3"/>
    <w:rsid w:val="00BF704B"/>
    <w:rsid w:val="00C0496B"/>
    <w:rsid w:val="00C06411"/>
    <w:rsid w:val="00C10CAA"/>
    <w:rsid w:val="00C122E0"/>
    <w:rsid w:val="00C12E94"/>
    <w:rsid w:val="00C15A52"/>
    <w:rsid w:val="00C15F47"/>
    <w:rsid w:val="00C219FA"/>
    <w:rsid w:val="00C21FB4"/>
    <w:rsid w:val="00C2513E"/>
    <w:rsid w:val="00C2569B"/>
    <w:rsid w:val="00C25F45"/>
    <w:rsid w:val="00C26360"/>
    <w:rsid w:val="00C317ED"/>
    <w:rsid w:val="00C31F46"/>
    <w:rsid w:val="00C365DE"/>
    <w:rsid w:val="00C366B8"/>
    <w:rsid w:val="00C370DB"/>
    <w:rsid w:val="00C37DC3"/>
    <w:rsid w:val="00C43159"/>
    <w:rsid w:val="00C44D66"/>
    <w:rsid w:val="00C47111"/>
    <w:rsid w:val="00C502B0"/>
    <w:rsid w:val="00C50D40"/>
    <w:rsid w:val="00C521B5"/>
    <w:rsid w:val="00C52C3A"/>
    <w:rsid w:val="00C52E1C"/>
    <w:rsid w:val="00C55869"/>
    <w:rsid w:val="00C56375"/>
    <w:rsid w:val="00C5785C"/>
    <w:rsid w:val="00C636C8"/>
    <w:rsid w:val="00C63D90"/>
    <w:rsid w:val="00C64166"/>
    <w:rsid w:val="00C70A43"/>
    <w:rsid w:val="00C7158E"/>
    <w:rsid w:val="00C72898"/>
    <w:rsid w:val="00C730A4"/>
    <w:rsid w:val="00C748D6"/>
    <w:rsid w:val="00C74A88"/>
    <w:rsid w:val="00C7598C"/>
    <w:rsid w:val="00C80777"/>
    <w:rsid w:val="00C80AD9"/>
    <w:rsid w:val="00C830B4"/>
    <w:rsid w:val="00C83FB9"/>
    <w:rsid w:val="00C87CD9"/>
    <w:rsid w:val="00C90563"/>
    <w:rsid w:val="00C90AAA"/>
    <w:rsid w:val="00C90AD3"/>
    <w:rsid w:val="00C92324"/>
    <w:rsid w:val="00C92C93"/>
    <w:rsid w:val="00C93073"/>
    <w:rsid w:val="00C93F37"/>
    <w:rsid w:val="00C94365"/>
    <w:rsid w:val="00C966C9"/>
    <w:rsid w:val="00CA3F99"/>
    <w:rsid w:val="00CA447A"/>
    <w:rsid w:val="00CA49ED"/>
    <w:rsid w:val="00CA6987"/>
    <w:rsid w:val="00CB16C1"/>
    <w:rsid w:val="00CB1E6A"/>
    <w:rsid w:val="00CB3EBC"/>
    <w:rsid w:val="00CB5610"/>
    <w:rsid w:val="00CC0B6A"/>
    <w:rsid w:val="00CC0D0F"/>
    <w:rsid w:val="00CC44C1"/>
    <w:rsid w:val="00CC70D8"/>
    <w:rsid w:val="00CD060A"/>
    <w:rsid w:val="00CD2458"/>
    <w:rsid w:val="00CD3A7A"/>
    <w:rsid w:val="00CD3D38"/>
    <w:rsid w:val="00CD7C2F"/>
    <w:rsid w:val="00CE1263"/>
    <w:rsid w:val="00CE3CFD"/>
    <w:rsid w:val="00CE51A8"/>
    <w:rsid w:val="00CE655C"/>
    <w:rsid w:val="00CE75F9"/>
    <w:rsid w:val="00CF0377"/>
    <w:rsid w:val="00CF1830"/>
    <w:rsid w:val="00CF1C9E"/>
    <w:rsid w:val="00CF2DA8"/>
    <w:rsid w:val="00CF4D58"/>
    <w:rsid w:val="00CF7278"/>
    <w:rsid w:val="00D01FB6"/>
    <w:rsid w:val="00D03735"/>
    <w:rsid w:val="00D04A3F"/>
    <w:rsid w:val="00D06CF3"/>
    <w:rsid w:val="00D103E8"/>
    <w:rsid w:val="00D109B3"/>
    <w:rsid w:val="00D126D6"/>
    <w:rsid w:val="00D203BF"/>
    <w:rsid w:val="00D25C1E"/>
    <w:rsid w:val="00D26033"/>
    <w:rsid w:val="00D3290D"/>
    <w:rsid w:val="00D32D0B"/>
    <w:rsid w:val="00D331ED"/>
    <w:rsid w:val="00D336C9"/>
    <w:rsid w:val="00D40E6D"/>
    <w:rsid w:val="00D41872"/>
    <w:rsid w:val="00D42AF0"/>
    <w:rsid w:val="00D43478"/>
    <w:rsid w:val="00D44DE9"/>
    <w:rsid w:val="00D44DF5"/>
    <w:rsid w:val="00D45D4E"/>
    <w:rsid w:val="00D47EB2"/>
    <w:rsid w:val="00D55202"/>
    <w:rsid w:val="00D5572A"/>
    <w:rsid w:val="00D55983"/>
    <w:rsid w:val="00D62776"/>
    <w:rsid w:val="00D65043"/>
    <w:rsid w:val="00D66AC1"/>
    <w:rsid w:val="00D66FC4"/>
    <w:rsid w:val="00D721B1"/>
    <w:rsid w:val="00D73C57"/>
    <w:rsid w:val="00D74CB0"/>
    <w:rsid w:val="00D759F2"/>
    <w:rsid w:val="00D76C41"/>
    <w:rsid w:val="00D80D58"/>
    <w:rsid w:val="00D83BE6"/>
    <w:rsid w:val="00D85573"/>
    <w:rsid w:val="00D87388"/>
    <w:rsid w:val="00D94A60"/>
    <w:rsid w:val="00D976EF"/>
    <w:rsid w:val="00DA0405"/>
    <w:rsid w:val="00DA5202"/>
    <w:rsid w:val="00DA5E41"/>
    <w:rsid w:val="00DA674C"/>
    <w:rsid w:val="00DA777E"/>
    <w:rsid w:val="00DA7F30"/>
    <w:rsid w:val="00DB0A22"/>
    <w:rsid w:val="00DB0CAE"/>
    <w:rsid w:val="00DB261C"/>
    <w:rsid w:val="00DB7936"/>
    <w:rsid w:val="00DB7FFB"/>
    <w:rsid w:val="00DC00B3"/>
    <w:rsid w:val="00DC20DE"/>
    <w:rsid w:val="00DC2251"/>
    <w:rsid w:val="00DC28AE"/>
    <w:rsid w:val="00DC461A"/>
    <w:rsid w:val="00DC46C6"/>
    <w:rsid w:val="00DC4AD9"/>
    <w:rsid w:val="00DC4B94"/>
    <w:rsid w:val="00DC57F9"/>
    <w:rsid w:val="00DC5A2D"/>
    <w:rsid w:val="00DD107A"/>
    <w:rsid w:val="00DD2C10"/>
    <w:rsid w:val="00DD4866"/>
    <w:rsid w:val="00DD4A64"/>
    <w:rsid w:val="00DD566E"/>
    <w:rsid w:val="00DE0664"/>
    <w:rsid w:val="00DE4580"/>
    <w:rsid w:val="00DE5815"/>
    <w:rsid w:val="00DE5CC0"/>
    <w:rsid w:val="00DE78F1"/>
    <w:rsid w:val="00DF0DEB"/>
    <w:rsid w:val="00DF113F"/>
    <w:rsid w:val="00DF6698"/>
    <w:rsid w:val="00DF77EB"/>
    <w:rsid w:val="00E002D1"/>
    <w:rsid w:val="00E01EC4"/>
    <w:rsid w:val="00E03158"/>
    <w:rsid w:val="00E04168"/>
    <w:rsid w:val="00E04DDD"/>
    <w:rsid w:val="00E060C9"/>
    <w:rsid w:val="00E0730E"/>
    <w:rsid w:val="00E07950"/>
    <w:rsid w:val="00E07E41"/>
    <w:rsid w:val="00E07F7B"/>
    <w:rsid w:val="00E13AE3"/>
    <w:rsid w:val="00E1495D"/>
    <w:rsid w:val="00E234E5"/>
    <w:rsid w:val="00E24265"/>
    <w:rsid w:val="00E24BD3"/>
    <w:rsid w:val="00E26A34"/>
    <w:rsid w:val="00E315E1"/>
    <w:rsid w:val="00E35D47"/>
    <w:rsid w:val="00E3707F"/>
    <w:rsid w:val="00E40D5A"/>
    <w:rsid w:val="00E43026"/>
    <w:rsid w:val="00E433D7"/>
    <w:rsid w:val="00E45EE5"/>
    <w:rsid w:val="00E47757"/>
    <w:rsid w:val="00E50145"/>
    <w:rsid w:val="00E506D7"/>
    <w:rsid w:val="00E508D6"/>
    <w:rsid w:val="00E528DE"/>
    <w:rsid w:val="00E5307B"/>
    <w:rsid w:val="00E5313E"/>
    <w:rsid w:val="00E56C71"/>
    <w:rsid w:val="00E61878"/>
    <w:rsid w:val="00E6470C"/>
    <w:rsid w:val="00E65AFA"/>
    <w:rsid w:val="00E660DE"/>
    <w:rsid w:val="00E660DF"/>
    <w:rsid w:val="00E67439"/>
    <w:rsid w:val="00E70D2B"/>
    <w:rsid w:val="00E71FF5"/>
    <w:rsid w:val="00E72F96"/>
    <w:rsid w:val="00E735DD"/>
    <w:rsid w:val="00E77AD7"/>
    <w:rsid w:val="00E80CAE"/>
    <w:rsid w:val="00E82C51"/>
    <w:rsid w:val="00E84D37"/>
    <w:rsid w:val="00E84EB6"/>
    <w:rsid w:val="00E8729B"/>
    <w:rsid w:val="00E879AA"/>
    <w:rsid w:val="00E87AF7"/>
    <w:rsid w:val="00E9192A"/>
    <w:rsid w:val="00E9278C"/>
    <w:rsid w:val="00E92871"/>
    <w:rsid w:val="00E936DE"/>
    <w:rsid w:val="00E96169"/>
    <w:rsid w:val="00E96E53"/>
    <w:rsid w:val="00EA257E"/>
    <w:rsid w:val="00EA3F04"/>
    <w:rsid w:val="00EA40DA"/>
    <w:rsid w:val="00EA6CF4"/>
    <w:rsid w:val="00EB0B4C"/>
    <w:rsid w:val="00EB205A"/>
    <w:rsid w:val="00EC13C8"/>
    <w:rsid w:val="00EC66AC"/>
    <w:rsid w:val="00ED0F38"/>
    <w:rsid w:val="00ED23B0"/>
    <w:rsid w:val="00ED3744"/>
    <w:rsid w:val="00ED3C38"/>
    <w:rsid w:val="00EE4449"/>
    <w:rsid w:val="00EE4F45"/>
    <w:rsid w:val="00EE5942"/>
    <w:rsid w:val="00EE7B80"/>
    <w:rsid w:val="00EF08A6"/>
    <w:rsid w:val="00EF20BA"/>
    <w:rsid w:val="00EF438E"/>
    <w:rsid w:val="00EF56E1"/>
    <w:rsid w:val="00EF5F0B"/>
    <w:rsid w:val="00F01571"/>
    <w:rsid w:val="00F04259"/>
    <w:rsid w:val="00F049F0"/>
    <w:rsid w:val="00F049F3"/>
    <w:rsid w:val="00F05305"/>
    <w:rsid w:val="00F06876"/>
    <w:rsid w:val="00F06B21"/>
    <w:rsid w:val="00F1108E"/>
    <w:rsid w:val="00F12067"/>
    <w:rsid w:val="00F1327E"/>
    <w:rsid w:val="00F152C8"/>
    <w:rsid w:val="00F15834"/>
    <w:rsid w:val="00F1702F"/>
    <w:rsid w:val="00F2283E"/>
    <w:rsid w:val="00F22CEB"/>
    <w:rsid w:val="00F25C51"/>
    <w:rsid w:val="00F3188A"/>
    <w:rsid w:val="00F318A2"/>
    <w:rsid w:val="00F33941"/>
    <w:rsid w:val="00F36A2F"/>
    <w:rsid w:val="00F37A85"/>
    <w:rsid w:val="00F40B62"/>
    <w:rsid w:val="00F410F5"/>
    <w:rsid w:val="00F4396D"/>
    <w:rsid w:val="00F43AD0"/>
    <w:rsid w:val="00F43EEF"/>
    <w:rsid w:val="00F44743"/>
    <w:rsid w:val="00F503B3"/>
    <w:rsid w:val="00F510B1"/>
    <w:rsid w:val="00F51B13"/>
    <w:rsid w:val="00F53128"/>
    <w:rsid w:val="00F56144"/>
    <w:rsid w:val="00F6259E"/>
    <w:rsid w:val="00F66502"/>
    <w:rsid w:val="00F67CC0"/>
    <w:rsid w:val="00F703F5"/>
    <w:rsid w:val="00F70DB0"/>
    <w:rsid w:val="00F71FCD"/>
    <w:rsid w:val="00F73143"/>
    <w:rsid w:val="00F74578"/>
    <w:rsid w:val="00F77366"/>
    <w:rsid w:val="00F80290"/>
    <w:rsid w:val="00F80D09"/>
    <w:rsid w:val="00F83717"/>
    <w:rsid w:val="00F84B6E"/>
    <w:rsid w:val="00F87DD5"/>
    <w:rsid w:val="00F90239"/>
    <w:rsid w:val="00F90DD5"/>
    <w:rsid w:val="00F933D7"/>
    <w:rsid w:val="00F9656A"/>
    <w:rsid w:val="00F970D8"/>
    <w:rsid w:val="00FA0F6F"/>
    <w:rsid w:val="00FA42DA"/>
    <w:rsid w:val="00FA5014"/>
    <w:rsid w:val="00FA6BA1"/>
    <w:rsid w:val="00FA6CB6"/>
    <w:rsid w:val="00FA70FE"/>
    <w:rsid w:val="00FA79CC"/>
    <w:rsid w:val="00FB1D2A"/>
    <w:rsid w:val="00FB1EDF"/>
    <w:rsid w:val="00FB5F29"/>
    <w:rsid w:val="00FB6D0F"/>
    <w:rsid w:val="00FC11CA"/>
    <w:rsid w:val="00FC2B4C"/>
    <w:rsid w:val="00FC59EE"/>
    <w:rsid w:val="00FD0CDF"/>
    <w:rsid w:val="00FD107C"/>
    <w:rsid w:val="00FD1C62"/>
    <w:rsid w:val="00FD268B"/>
    <w:rsid w:val="00FD395F"/>
    <w:rsid w:val="00FD3C2F"/>
    <w:rsid w:val="00FD3D28"/>
    <w:rsid w:val="00FE22FE"/>
    <w:rsid w:val="00FE254E"/>
    <w:rsid w:val="00FE3EDD"/>
    <w:rsid w:val="00FE71B0"/>
    <w:rsid w:val="00FF4180"/>
    <w:rsid w:val="00FF6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1C5EC"/>
  <w15:chartTrackingRefBased/>
  <w15:docId w15:val="{34867162-FD6A-48E7-9873-5CEF9ADC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9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32527E"/>
    <w:pPr>
      <w:keepNext/>
      <w:keepLines/>
      <w:numPr>
        <w:numId w:val="21"/>
      </w:numPr>
      <w:pBdr>
        <w:bottom w:val="single" w:sz="18" w:space="1" w:color="0070C0"/>
      </w:pBdr>
      <w:spacing w:before="160"/>
      <w:outlineLvl w:val="3"/>
    </w:pPr>
    <w:rPr>
      <w:rFonts w:ascii="Arial" w:eastAsiaTheme="majorEastAsia" w:hAnsi="Arial" w:cstheme="majorBidi"/>
      <w:b/>
      <w:iCs/>
      <w:color w:val="085BA0"/>
      <w:sz w:val="28"/>
    </w:rPr>
  </w:style>
  <w:style w:type="paragraph" w:styleId="Heading5">
    <w:name w:val="heading 5"/>
    <w:basedOn w:val="Normal"/>
    <w:next w:val="Normal"/>
    <w:link w:val="Heading5Char"/>
    <w:rsid w:val="0032527E"/>
    <w:pPr>
      <w:numPr>
        <w:numId w:val="23"/>
      </w:numPr>
      <w:pBdr>
        <w:bottom w:val="single" w:sz="18" w:space="1" w:color="007F9F"/>
      </w:pBdr>
      <w:spacing w:before="120" w:after="120" w:line="276" w:lineRule="auto"/>
      <w:outlineLvl w:val="4"/>
    </w:pPr>
    <w:rPr>
      <w:rFonts w:ascii="Arial" w:eastAsia="Times New Roman" w:hAnsi="Arial" w:cs="Times New Roman"/>
      <w:b/>
      <w:bCs/>
      <w:iCs/>
      <w:color w:val="007F9F"/>
      <w:sz w:val="28"/>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95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1495D"/>
    <w:pPr>
      <w:ind w:left="720"/>
      <w:contextualSpacing/>
    </w:pPr>
  </w:style>
  <w:style w:type="table" w:styleId="TableGrid">
    <w:name w:val="Table Grid"/>
    <w:basedOn w:val="TableNormal"/>
    <w:uiPriority w:val="39"/>
    <w:rsid w:val="00356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C4402"/>
    <w:pPr>
      <w:outlineLvl w:val="9"/>
    </w:pPr>
    <w:rPr>
      <w:lang w:val="en-US"/>
    </w:rPr>
  </w:style>
  <w:style w:type="paragraph" w:styleId="TOC1">
    <w:name w:val="toc 1"/>
    <w:basedOn w:val="Normal"/>
    <w:next w:val="Normal"/>
    <w:autoRedefine/>
    <w:uiPriority w:val="39"/>
    <w:unhideWhenUsed/>
    <w:rsid w:val="007C4402"/>
    <w:pPr>
      <w:spacing w:after="100"/>
    </w:pPr>
  </w:style>
  <w:style w:type="character" w:styleId="Hyperlink">
    <w:name w:val="Hyperlink"/>
    <w:basedOn w:val="DefaultParagraphFont"/>
    <w:uiPriority w:val="99"/>
    <w:unhideWhenUsed/>
    <w:rsid w:val="007C4402"/>
    <w:rPr>
      <w:color w:val="0563C1" w:themeColor="hyperlink"/>
      <w:u w:val="single"/>
    </w:rPr>
  </w:style>
  <w:style w:type="paragraph" w:styleId="Header">
    <w:name w:val="header"/>
    <w:basedOn w:val="Normal"/>
    <w:link w:val="HeaderChar"/>
    <w:uiPriority w:val="99"/>
    <w:unhideWhenUsed/>
    <w:rsid w:val="00C73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0A4"/>
  </w:style>
  <w:style w:type="paragraph" w:styleId="Footer">
    <w:name w:val="footer"/>
    <w:basedOn w:val="Normal"/>
    <w:link w:val="FooterChar"/>
    <w:uiPriority w:val="99"/>
    <w:unhideWhenUsed/>
    <w:rsid w:val="00C73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0A4"/>
  </w:style>
  <w:style w:type="table" w:customStyle="1" w:styleId="TableGrid1">
    <w:name w:val="Table Grid1"/>
    <w:basedOn w:val="TableNormal"/>
    <w:next w:val="TableGrid"/>
    <w:uiPriority w:val="39"/>
    <w:rsid w:val="002E3C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6C27"/>
    <w:rPr>
      <w:color w:val="605E5C"/>
      <w:shd w:val="clear" w:color="auto" w:fill="E1DFDD"/>
    </w:rPr>
  </w:style>
  <w:style w:type="character" w:styleId="CommentReference">
    <w:name w:val="annotation reference"/>
    <w:basedOn w:val="DefaultParagraphFont"/>
    <w:uiPriority w:val="99"/>
    <w:semiHidden/>
    <w:unhideWhenUsed/>
    <w:rsid w:val="00C219FA"/>
    <w:rPr>
      <w:sz w:val="16"/>
      <w:szCs w:val="16"/>
    </w:rPr>
  </w:style>
  <w:style w:type="paragraph" w:styleId="CommentText">
    <w:name w:val="annotation text"/>
    <w:basedOn w:val="Normal"/>
    <w:link w:val="CommentTextChar"/>
    <w:uiPriority w:val="99"/>
    <w:unhideWhenUsed/>
    <w:rsid w:val="00C219FA"/>
    <w:pPr>
      <w:spacing w:line="240" w:lineRule="auto"/>
    </w:pPr>
    <w:rPr>
      <w:sz w:val="20"/>
      <w:szCs w:val="20"/>
    </w:rPr>
  </w:style>
  <w:style w:type="character" w:customStyle="1" w:styleId="CommentTextChar">
    <w:name w:val="Comment Text Char"/>
    <w:basedOn w:val="DefaultParagraphFont"/>
    <w:link w:val="CommentText"/>
    <w:uiPriority w:val="99"/>
    <w:rsid w:val="00C219FA"/>
    <w:rPr>
      <w:sz w:val="20"/>
      <w:szCs w:val="20"/>
    </w:rPr>
  </w:style>
  <w:style w:type="paragraph" w:styleId="CommentSubject">
    <w:name w:val="annotation subject"/>
    <w:basedOn w:val="CommentText"/>
    <w:next w:val="CommentText"/>
    <w:link w:val="CommentSubjectChar"/>
    <w:uiPriority w:val="99"/>
    <w:semiHidden/>
    <w:unhideWhenUsed/>
    <w:rsid w:val="00C219FA"/>
    <w:rPr>
      <w:b/>
      <w:bCs/>
    </w:rPr>
  </w:style>
  <w:style w:type="character" w:customStyle="1" w:styleId="CommentSubjectChar">
    <w:name w:val="Comment Subject Char"/>
    <w:basedOn w:val="CommentTextChar"/>
    <w:link w:val="CommentSubject"/>
    <w:uiPriority w:val="99"/>
    <w:semiHidden/>
    <w:rsid w:val="00C219FA"/>
    <w:rPr>
      <w:b/>
      <w:bCs/>
      <w:sz w:val="20"/>
      <w:szCs w:val="20"/>
    </w:rPr>
  </w:style>
  <w:style w:type="character" w:customStyle="1" w:styleId="Heading4Char">
    <w:name w:val="Heading 4 Char"/>
    <w:basedOn w:val="DefaultParagraphFont"/>
    <w:link w:val="Heading4"/>
    <w:uiPriority w:val="9"/>
    <w:rsid w:val="0032527E"/>
    <w:rPr>
      <w:rFonts w:ascii="Arial" w:eastAsiaTheme="majorEastAsia" w:hAnsi="Arial" w:cstheme="majorBidi"/>
      <w:b/>
      <w:iCs/>
      <w:color w:val="085BA0"/>
      <w:sz w:val="28"/>
    </w:rPr>
  </w:style>
  <w:style w:type="character" w:customStyle="1" w:styleId="Heading5Char">
    <w:name w:val="Heading 5 Char"/>
    <w:basedOn w:val="DefaultParagraphFont"/>
    <w:link w:val="Heading5"/>
    <w:rsid w:val="0032527E"/>
    <w:rPr>
      <w:rFonts w:ascii="Arial" w:eastAsia="Times New Roman" w:hAnsi="Arial" w:cs="Times New Roman"/>
      <w:b/>
      <w:bCs/>
      <w:iCs/>
      <w:color w:val="007F9F"/>
      <w:sz w:val="28"/>
      <w:szCs w:val="26"/>
      <w:lang w:eastAsia="en-GB"/>
    </w:rPr>
  </w:style>
  <w:style w:type="paragraph" w:customStyle="1" w:styleId="11">
    <w:name w:val="1.1"/>
    <w:basedOn w:val="Normal"/>
    <w:qFormat/>
    <w:rsid w:val="0032527E"/>
    <w:pPr>
      <w:numPr>
        <w:ilvl w:val="1"/>
        <w:numId w:val="23"/>
      </w:numPr>
      <w:shd w:val="clear" w:color="auto" w:fill="FFFFFF" w:themeFill="background1"/>
      <w:spacing w:before="120" w:after="120" w:line="276" w:lineRule="auto"/>
    </w:pPr>
    <w:rPr>
      <w:rFonts w:ascii="Arial" w:eastAsia="Times New Roman" w:hAnsi="Arial" w:cs="Times New Roman"/>
      <w:sz w:val="24"/>
      <w:szCs w:val="24"/>
      <w:lang w:eastAsia="en-GB"/>
    </w:rPr>
  </w:style>
  <w:style w:type="paragraph" w:customStyle="1" w:styleId="111">
    <w:name w:val="1.1.1"/>
    <w:basedOn w:val="Normal"/>
    <w:qFormat/>
    <w:rsid w:val="0032527E"/>
    <w:pPr>
      <w:numPr>
        <w:ilvl w:val="2"/>
        <w:numId w:val="23"/>
      </w:numPr>
      <w:shd w:val="clear" w:color="auto" w:fill="FFFFFF" w:themeFill="background1"/>
      <w:spacing w:before="120" w:after="120" w:line="276" w:lineRule="auto"/>
    </w:pPr>
    <w:rPr>
      <w:rFonts w:ascii="Arial" w:eastAsia="Times New Roman" w:hAnsi="Arial" w:cs="Times New Roman"/>
      <w:sz w:val="24"/>
      <w:szCs w:val="24"/>
      <w:lang w:eastAsia="en-GB"/>
    </w:rPr>
  </w:style>
  <w:style w:type="paragraph" w:customStyle="1" w:styleId="1111">
    <w:name w:val="1.1.1.1"/>
    <w:basedOn w:val="ListParagraph"/>
    <w:qFormat/>
    <w:rsid w:val="0032527E"/>
    <w:pPr>
      <w:numPr>
        <w:ilvl w:val="3"/>
        <w:numId w:val="23"/>
      </w:numPr>
      <w:shd w:val="clear" w:color="auto" w:fill="FFFFFF" w:themeFill="background1"/>
      <w:spacing w:before="120" w:after="120" w:line="276" w:lineRule="auto"/>
      <w:contextualSpacing w:val="0"/>
    </w:pPr>
    <w:rPr>
      <w:rFonts w:ascii="Arial" w:eastAsia="Times New Roman" w:hAnsi="Arial" w:cs="Times New Roman"/>
      <w:sz w:val="24"/>
      <w:szCs w:val="24"/>
      <w:lang w:eastAsia="en-GB"/>
    </w:rPr>
  </w:style>
  <w:style w:type="numbering" w:customStyle="1" w:styleId="NumberedList">
    <w:name w:val="Numbered List"/>
    <w:uiPriority w:val="99"/>
    <w:rsid w:val="0032527E"/>
    <w:pPr>
      <w:numPr>
        <w:numId w:val="22"/>
      </w:numPr>
    </w:pPr>
  </w:style>
  <w:style w:type="paragraph" w:styleId="Revision">
    <w:name w:val="Revision"/>
    <w:hidden/>
    <w:uiPriority w:val="99"/>
    <w:semiHidden/>
    <w:rsid w:val="005A77A9"/>
    <w:pPr>
      <w:spacing w:after="0" w:line="240" w:lineRule="auto"/>
    </w:pPr>
  </w:style>
  <w:style w:type="character" w:styleId="FollowedHyperlink">
    <w:name w:val="FollowedHyperlink"/>
    <w:basedOn w:val="DefaultParagraphFont"/>
    <w:uiPriority w:val="99"/>
    <w:semiHidden/>
    <w:unhideWhenUsed/>
    <w:rsid w:val="004B57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19826">
      <w:bodyDiv w:val="1"/>
      <w:marLeft w:val="0"/>
      <w:marRight w:val="0"/>
      <w:marTop w:val="0"/>
      <w:marBottom w:val="0"/>
      <w:divBdr>
        <w:top w:val="none" w:sz="0" w:space="0" w:color="auto"/>
        <w:left w:val="none" w:sz="0" w:space="0" w:color="auto"/>
        <w:bottom w:val="none" w:sz="0" w:space="0" w:color="auto"/>
        <w:right w:val="none" w:sz="0" w:space="0" w:color="auto"/>
      </w:divBdr>
    </w:div>
    <w:div w:id="526261099">
      <w:bodyDiv w:val="1"/>
      <w:marLeft w:val="0"/>
      <w:marRight w:val="0"/>
      <w:marTop w:val="0"/>
      <w:marBottom w:val="0"/>
      <w:divBdr>
        <w:top w:val="none" w:sz="0" w:space="0" w:color="auto"/>
        <w:left w:val="none" w:sz="0" w:space="0" w:color="auto"/>
        <w:bottom w:val="none" w:sz="0" w:space="0" w:color="auto"/>
        <w:right w:val="none" w:sz="0" w:space="0" w:color="auto"/>
      </w:divBdr>
    </w:div>
    <w:div w:id="564297621">
      <w:bodyDiv w:val="1"/>
      <w:marLeft w:val="0"/>
      <w:marRight w:val="0"/>
      <w:marTop w:val="0"/>
      <w:marBottom w:val="0"/>
      <w:divBdr>
        <w:top w:val="none" w:sz="0" w:space="0" w:color="auto"/>
        <w:left w:val="none" w:sz="0" w:space="0" w:color="auto"/>
        <w:bottom w:val="none" w:sz="0" w:space="0" w:color="auto"/>
        <w:right w:val="none" w:sz="0" w:space="0" w:color="auto"/>
      </w:divBdr>
    </w:div>
    <w:div w:id="1158572089">
      <w:bodyDiv w:val="1"/>
      <w:marLeft w:val="0"/>
      <w:marRight w:val="0"/>
      <w:marTop w:val="0"/>
      <w:marBottom w:val="0"/>
      <w:divBdr>
        <w:top w:val="none" w:sz="0" w:space="0" w:color="auto"/>
        <w:left w:val="none" w:sz="0" w:space="0" w:color="auto"/>
        <w:bottom w:val="none" w:sz="0" w:space="0" w:color="auto"/>
        <w:right w:val="none" w:sz="0" w:space="0" w:color="auto"/>
      </w:divBdr>
    </w:div>
    <w:div w:id="1843162212">
      <w:bodyDiv w:val="1"/>
      <w:marLeft w:val="0"/>
      <w:marRight w:val="0"/>
      <w:marTop w:val="0"/>
      <w:marBottom w:val="0"/>
      <w:divBdr>
        <w:top w:val="none" w:sz="0" w:space="0" w:color="auto"/>
        <w:left w:val="none" w:sz="0" w:space="0" w:color="auto"/>
        <w:bottom w:val="none" w:sz="0" w:space="0" w:color="auto"/>
        <w:right w:val="none" w:sz="0" w:space="0" w:color="auto"/>
      </w:divBdr>
    </w:div>
    <w:div w:id="19569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F131D-FD9E-4675-B6CF-04AC5A0C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13</Pages>
  <Words>5239</Words>
  <Characters>29864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McCarroll</dc:creator>
  <cp:keywords/>
  <dc:description/>
  <cp:lastModifiedBy>Kyle Drummond</cp:lastModifiedBy>
  <cp:revision>67</cp:revision>
  <dcterms:created xsi:type="dcterms:W3CDTF">2023-03-17T11:03:00Z</dcterms:created>
  <dcterms:modified xsi:type="dcterms:W3CDTF">2024-05-17T14:51:00Z</dcterms:modified>
</cp:coreProperties>
</file>